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74" w:rsidRPr="00524E9C" w:rsidRDefault="00524E9C" w:rsidP="006269B4">
      <w:pPr>
        <w:spacing w:line="0" w:lineRule="atLeast"/>
        <w:jc w:val="center"/>
        <w:rPr>
          <w:rFonts w:eastAsia="標楷體"/>
          <w:sz w:val="30"/>
          <w:szCs w:val="30"/>
        </w:rPr>
      </w:pPr>
      <w:r w:rsidRPr="00524E9C">
        <w:rPr>
          <w:rFonts w:eastAsia="標楷體" w:hint="eastAsia"/>
          <w:sz w:val="30"/>
          <w:szCs w:val="30"/>
        </w:rPr>
        <w:t>「教育部</w:t>
      </w:r>
      <w:r w:rsidRPr="00524E9C">
        <w:rPr>
          <w:rFonts w:eastAsia="標楷體"/>
          <w:sz w:val="30"/>
          <w:szCs w:val="30"/>
        </w:rPr>
        <w:t>臺灣學術倫理教育資源中心」及「</w:t>
      </w:r>
      <w:r w:rsidRPr="00524E9C">
        <w:rPr>
          <w:rFonts w:eastAsia="標楷體" w:hint="eastAsia"/>
          <w:sz w:val="30"/>
          <w:szCs w:val="30"/>
        </w:rPr>
        <w:t>CITI Program</w:t>
      </w:r>
      <w:r w:rsidRPr="00524E9C">
        <w:rPr>
          <w:rFonts w:eastAsia="標楷體" w:hint="eastAsia"/>
          <w:sz w:val="30"/>
          <w:szCs w:val="30"/>
        </w:rPr>
        <w:t>」</w:t>
      </w:r>
      <w:r w:rsidR="00FD2B10" w:rsidRPr="00524E9C">
        <w:rPr>
          <w:rFonts w:eastAsia="標楷體" w:hint="eastAsia"/>
          <w:sz w:val="30"/>
          <w:szCs w:val="30"/>
        </w:rPr>
        <w:t>線上</w:t>
      </w:r>
      <w:r w:rsidR="00743131" w:rsidRPr="00524E9C">
        <w:rPr>
          <w:rFonts w:eastAsia="標楷體" w:hint="eastAsia"/>
          <w:sz w:val="30"/>
          <w:szCs w:val="30"/>
        </w:rPr>
        <w:t>課程</w:t>
      </w:r>
      <w:r w:rsidR="00FD2B10" w:rsidRPr="00524E9C">
        <w:rPr>
          <w:rFonts w:eastAsia="標楷體" w:hint="eastAsia"/>
          <w:sz w:val="30"/>
          <w:szCs w:val="30"/>
        </w:rPr>
        <w:t>簡介</w:t>
      </w:r>
    </w:p>
    <w:p w:rsidR="006269B4" w:rsidRPr="00FD2B10" w:rsidRDefault="006269B4" w:rsidP="006269B4">
      <w:pPr>
        <w:spacing w:line="0" w:lineRule="atLeast"/>
        <w:jc w:val="center"/>
        <w:rPr>
          <w:rFonts w:eastAsia="標楷體"/>
          <w:sz w:val="28"/>
          <w:szCs w:val="28"/>
        </w:rPr>
      </w:pPr>
    </w:p>
    <w:p w:rsidR="00FA3311" w:rsidRPr="00440960" w:rsidRDefault="00FA3311" w:rsidP="009A71D4">
      <w:pPr>
        <w:spacing w:line="0" w:lineRule="atLeast"/>
        <w:ind w:right="800"/>
        <w:jc w:val="right"/>
        <w:rPr>
          <w:rFonts w:eastAsia="標楷體"/>
          <w:sz w:val="20"/>
          <w:szCs w:val="20"/>
        </w:rPr>
      </w:pPr>
    </w:p>
    <w:p w:rsidR="006269B4" w:rsidRPr="003A4FB8" w:rsidRDefault="006269B4" w:rsidP="006269B4">
      <w:pPr>
        <w:spacing w:line="360" w:lineRule="auto"/>
        <w:rPr>
          <w:rFonts w:eastAsia="標楷體"/>
          <w:b/>
          <w:sz w:val="28"/>
          <w:szCs w:val="28"/>
        </w:rPr>
      </w:pPr>
      <w:r w:rsidRPr="003A4FB8">
        <w:rPr>
          <w:rFonts w:eastAsia="標楷體"/>
          <w:b/>
          <w:sz w:val="28"/>
          <w:szCs w:val="28"/>
          <w:bdr w:val="single" w:sz="4" w:space="0" w:color="auto"/>
        </w:rPr>
        <w:t>臺灣學術倫理教育資源中心</w:t>
      </w:r>
    </w:p>
    <w:p w:rsidR="002311DF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臺灣學術倫理教育資源中心（</w:t>
      </w:r>
      <w:r w:rsidR="0089596C" w:rsidRPr="0089596C">
        <w:rPr>
          <w:rStyle w:val="aa"/>
          <w:rFonts w:eastAsia="標楷體"/>
        </w:rPr>
        <w:t>http://ethics.moe.edu.tw</w:t>
      </w:r>
      <w:r w:rsidR="002311DF">
        <w:rPr>
          <w:rFonts w:eastAsia="標楷體" w:hint="eastAsia"/>
        </w:rPr>
        <w:t>）是由教育部規畫建置的學術倫理線上課程網站：</w:t>
      </w:r>
    </w:p>
    <w:p w:rsidR="006269B4" w:rsidRDefault="00161D5B" w:rsidP="006269B4">
      <w:pPr>
        <w:pStyle w:val="a3"/>
        <w:numPr>
          <w:ilvl w:val="0"/>
          <w:numId w:val="10"/>
        </w:numPr>
        <w:spacing w:line="360" w:lineRule="auto"/>
        <w:ind w:leftChars="0"/>
        <w:rPr>
          <w:rFonts w:eastAsia="標楷體"/>
        </w:rPr>
      </w:pPr>
      <w:r w:rsidRPr="002311DF">
        <w:rPr>
          <w:rFonts w:eastAsia="標楷體" w:hint="eastAsia"/>
        </w:rPr>
        <w:t>臺灣大學</w:t>
      </w:r>
      <w:r w:rsidRPr="002311DF">
        <w:rPr>
          <w:rFonts w:eastAsia="標楷體" w:hint="eastAsia"/>
          <w:color w:val="0000FF"/>
        </w:rPr>
        <w:t>教研人員</w:t>
      </w:r>
      <w:r w:rsidR="00170F72" w:rsidRPr="00170F72">
        <w:rPr>
          <w:rFonts w:eastAsia="標楷體" w:hint="eastAsia"/>
        </w:rPr>
        <w:t>：</w:t>
      </w:r>
      <w:r w:rsidR="002311DF" w:rsidRPr="002311DF">
        <w:rPr>
          <w:rFonts w:eastAsia="標楷體" w:hint="eastAsia"/>
        </w:rPr>
        <w:t>請</w:t>
      </w:r>
      <w:r w:rsidR="002311DF">
        <w:rPr>
          <w:rFonts w:eastAsia="標楷體" w:hint="eastAsia"/>
        </w:rPr>
        <w:t>以</w:t>
      </w:r>
      <w:r w:rsidR="006269B4" w:rsidRPr="002311DF">
        <w:rPr>
          <w:rFonts w:eastAsia="標楷體"/>
          <w:color w:val="FF0000"/>
        </w:rPr>
        <w:t>個人</w:t>
      </w:r>
      <w:r w:rsidR="006269B4" w:rsidRPr="002311DF">
        <w:rPr>
          <w:rFonts w:eastAsia="標楷體" w:hint="eastAsia"/>
          <w:color w:val="FF0000"/>
        </w:rPr>
        <w:t>自行</w:t>
      </w:r>
      <w:r w:rsidR="006269B4" w:rsidRPr="002311DF">
        <w:rPr>
          <w:rFonts w:eastAsia="標楷體"/>
          <w:color w:val="FF0000"/>
        </w:rPr>
        <w:t>註冊</w:t>
      </w:r>
      <w:r w:rsidR="006269B4" w:rsidRPr="002311DF">
        <w:rPr>
          <w:rFonts w:eastAsia="標楷體" w:hint="eastAsia"/>
        </w:rPr>
        <w:t>的方式加入此網站</w:t>
      </w:r>
      <w:r w:rsidR="006269B4" w:rsidRPr="002311DF">
        <w:rPr>
          <w:rFonts w:eastAsia="標楷體"/>
        </w:rPr>
        <w:t>。</w:t>
      </w:r>
      <w:r w:rsidR="006269B4" w:rsidRPr="002311DF">
        <w:rPr>
          <w:rFonts w:eastAsia="標楷體" w:hint="eastAsia"/>
        </w:rPr>
        <w:t>建議以臺大</w:t>
      </w:r>
      <w:r w:rsidR="006269B4" w:rsidRPr="002311DF">
        <w:rPr>
          <w:rFonts w:eastAsia="標楷體" w:hint="eastAsia"/>
        </w:rPr>
        <w:t>NTU</w:t>
      </w:r>
      <w:r w:rsidR="006269B4" w:rsidRPr="002311DF">
        <w:rPr>
          <w:rFonts w:eastAsia="標楷體" w:hint="eastAsia"/>
        </w:rPr>
        <w:t>信箱做為申請帳號，</w:t>
      </w:r>
      <w:r w:rsidR="006269B4" w:rsidRPr="002311DF">
        <w:rPr>
          <w:rFonts w:eastAsia="標楷體" w:hint="eastAsia"/>
          <w:color w:val="FF0000"/>
        </w:rPr>
        <w:t>並</w:t>
      </w:r>
      <w:r w:rsidR="00FA3311" w:rsidRPr="002311DF">
        <w:rPr>
          <w:rFonts w:eastAsia="標楷體" w:hint="eastAsia"/>
          <w:color w:val="FF0000"/>
        </w:rPr>
        <w:t>必須使用</w:t>
      </w:r>
      <w:r w:rsidR="006269B4" w:rsidRPr="002311DF">
        <w:rPr>
          <w:rFonts w:eastAsia="標楷體" w:hint="eastAsia"/>
          <w:color w:val="FF0000"/>
        </w:rPr>
        <w:t>真實姓名</w:t>
      </w:r>
      <w:r w:rsidR="006269B4" w:rsidRPr="002311DF">
        <w:rPr>
          <w:rFonts w:eastAsia="標楷體" w:hint="eastAsia"/>
        </w:rPr>
        <w:t>（會列印在修課證明上）。完成註冊後，回到首頁，選擇身分</w:t>
      </w:r>
      <w:r w:rsidR="006269B4" w:rsidRPr="002311DF">
        <w:rPr>
          <w:rFonts w:eastAsia="標楷體" w:hint="eastAsia"/>
          <w:color w:val="FF0000"/>
        </w:rPr>
        <w:t>「個人註冊」</w:t>
      </w:r>
      <w:r w:rsidR="006269B4" w:rsidRPr="002311DF">
        <w:rPr>
          <w:rFonts w:eastAsia="標楷體" w:hint="eastAsia"/>
        </w:rPr>
        <w:t>，以自建之帳號密碼登入。</w:t>
      </w:r>
      <w:bookmarkStart w:id="0" w:name="_GoBack"/>
      <w:bookmarkEnd w:id="0"/>
    </w:p>
    <w:p w:rsidR="002311DF" w:rsidRPr="002311DF" w:rsidRDefault="002311DF" w:rsidP="006269B4">
      <w:pPr>
        <w:pStyle w:val="a3"/>
        <w:numPr>
          <w:ilvl w:val="0"/>
          <w:numId w:val="10"/>
        </w:numPr>
        <w:spacing w:line="360" w:lineRule="auto"/>
        <w:ind w:leftChars="0"/>
        <w:rPr>
          <w:rFonts w:eastAsia="標楷體"/>
        </w:rPr>
      </w:pPr>
      <w:r w:rsidRPr="002311DF">
        <w:rPr>
          <w:rFonts w:eastAsia="標楷體" w:hint="eastAsia"/>
        </w:rPr>
        <w:t>臺灣大學</w:t>
      </w:r>
      <w:r w:rsidRPr="002311DF">
        <w:rPr>
          <w:rFonts w:eastAsia="標楷體" w:hint="eastAsia"/>
          <w:color w:val="0000FF"/>
        </w:rPr>
        <w:t>107</w:t>
      </w:r>
      <w:r w:rsidRPr="002311DF">
        <w:rPr>
          <w:rFonts w:eastAsia="標楷體" w:hint="eastAsia"/>
          <w:color w:val="0000FF"/>
        </w:rPr>
        <w:t>學年度後入學之研究所學生</w:t>
      </w:r>
      <w:r w:rsidR="00170F72" w:rsidRPr="00170F72">
        <w:rPr>
          <w:rFonts w:eastAsia="標楷體" w:hint="eastAsia"/>
        </w:rPr>
        <w:t>：</w:t>
      </w:r>
      <w:r w:rsidRPr="002311DF">
        <w:rPr>
          <w:rFonts w:eastAsia="標楷體" w:hint="eastAsia"/>
        </w:rPr>
        <w:t>請選擇首頁右方</w:t>
      </w:r>
      <w:r w:rsidRPr="002311DF">
        <w:rPr>
          <w:rFonts w:eastAsia="標楷體" w:hint="eastAsia"/>
          <w:color w:val="FF0000"/>
        </w:rPr>
        <w:t>「必修學生」</w:t>
      </w:r>
      <w:r w:rsidRPr="002311DF">
        <w:rPr>
          <w:rFonts w:eastAsia="標楷體" w:hint="eastAsia"/>
        </w:rPr>
        <w:t>，並以學號登入</w:t>
      </w:r>
      <w:r w:rsidRPr="002311DF">
        <w:rPr>
          <w:rFonts w:eastAsia="標楷體" w:hint="eastAsia"/>
        </w:rPr>
        <w:t>。</w:t>
      </w:r>
    </w:p>
    <w:p w:rsidR="0052771A" w:rsidRPr="002311DF" w:rsidRDefault="006269B4" w:rsidP="006269B4">
      <w:pPr>
        <w:pStyle w:val="a3"/>
        <w:numPr>
          <w:ilvl w:val="0"/>
          <w:numId w:val="10"/>
        </w:numPr>
        <w:spacing w:line="360" w:lineRule="auto"/>
        <w:ind w:leftChars="0"/>
        <w:rPr>
          <w:rFonts w:eastAsia="標楷體"/>
        </w:rPr>
      </w:pPr>
      <w:r w:rsidRPr="002311DF">
        <w:rPr>
          <w:rFonts w:eastAsia="標楷體" w:hint="eastAsia"/>
        </w:rPr>
        <w:t>登入後，點選上方的「課程專區」。進入後，建議直接點選左方側欄的「研究所核心課程」，裡面已預選好</w:t>
      </w:r>
      <w:r w:rsidRPr="002311DF">
        <w:rPr>
          <w:rFonts w:eastAsia="標楷體" w:hint="eastAsia"/>
        </w:rPr>
        <w:t>18</w:t>
      </w:r>
      <w:r w:rsidRPr="002311DF">
        <w:rPr>
          <w:rFonts w:eastAsia="標楷體" w:hint="eastAsia"/>
        </w:rPr>
        <w:t>單元</w:t>
      </w:r>
      <w:r w:rsidRPr="002311DF">
        <w:rPr>
          <w:rFonts w:eastAsia="標楷體" w:hint="eastAsia"/>
          <w:color w:val="FF0000"/>
        </w:rPr>
        <w:t>（修完剛好滿足</w:t>
      </w:r>
      <w:r w:rsidRPr="002311DF">
        <w:rPr>
          <w:rFonts w:eastAsia="標楷體" w:hint="eastAsia"/>
          <w:color w:val="FF0000"/>
        </w:rPr>
        <w:t>6</w:t>
      </w:r>
      <w:r w:rsidRPr="002311DF">
        <w:rPr>
          <w:rFonts w:eastAsia="標楷體" w:hint="eastAsia"/>
          <w:color w:val="FF0000"/>
        </w:rPr>
        <w:t>小時的學分要求）</w:t>
      </w:r>
      <w:r w:rsidRPr="002311DF">
        <w:rPr>
          <w:rFonts w:eastAsia="標楷體" w:hint="eastAsia"/>
        </w:rPr>
        <w:t>，然後點擊「</w:t>
      </w:r>
      <w:r w:rsidRPr="002311DF">
        <w:rPr>
          <w:rFonts w:eastAsia="標楷體" w:hint="eastAsia"/>
        </w:rPr>
        <w:t>+</w:t>
      </w:r>
      <w:r w:rsidRPr="002311DF">
        <w:rPr>
          <w:rFonts w:eastAsia="標楷體" w:hint="eastAsia"/>
        </w:rPr>
        <w:t>加選全部課程」</w:t>
      </w:r>
      <w:r w:rsidR="00FA3311" w:rsidRPr="002311DF">
        <w:rPr>
          <w:rFonts w:eastAsia="標楷體" w:hint="eastAsia"/>
        </w:rPr>
        <w:t>，課程主題如下</w:t>
      </w:r>
      <w:r w:rsidRPr="002311DF">
        <w:rPr>
          <w:rFonts w:eastAsia="標楷體" w:hint="eastAsia"/>
        </w:rPr>
        <w:t>。</w:t>
      </w:r>
    </w:p>
    <w:tbl>
      <w:tblPr>
        <w:tblStyle w:val="ac"/>
        <w:tblW w:w="0" w:type="auto"/>
        <w:tblInd w:w="686" w:type="dxa"/>
        <w:tblLook w:val="04A0" w:firstRow="1" w:lastRow="0" w:firstColumn="1" w:lastColumn="0" w:noHBand="0" w:noVBand="1"/>
      </w:tblPr>
      <w:tblGrid>
        <w:gridCol w:w="988"/>
        <w:gridCol w:w="5528"/>
      </w:tblGrid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次序</w:t>
            </w:r>
          </w:p>
        </w:tc>
        <w:tc>
          <w:tcPr>
            <w:tcW w:w="5528" w:type="dxa"/>
          </w:tcPr>
          <w:p w:rsidR="0052771A" w:rsidRPr="00B627CA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單元名稱</w:t>
            </w:r>
            <w:r w:rsidRPr="000254F3">
              <w:rPr>
                <w:rFonts w:ascii="Times New Roman" w:eastAsia="標楷體" w:hAnsi="Times New Roman" w:cs="Times New Roman"/>
              </w:rPr>
              <w:t>(</w:t>
            </w:r>
            <w:r w:rsidRPr="000254F3">
              <w:rPr>
                <w:rFonts w:ascii="Times New Roman" w:eastAsia="標楷體" w:hAnsi="Times New Roman" w:cs="Times New Roman"/>
              </w:rPr>
              <w:t>每單元各</w:t>
            </w:r>
            <w:r w:rsidRPr="000254F3">
              <w:rPr>
                <w:rFonts w:ascii="Times New Roman" w:eastAsia="標楷體" w:hAnsi="Times New Roman" w:cs="Times New Roman"/>
              </w:rPr>
              <w:t>20</w:t>
            </w:r>
            <w:r w:rsidRPr="000254F3">
              <w:rPr>
                <w:rFonts w:ascii="Times New Roman" w:eastAsia="標楷體" w:hAnsi="Times New Roman" w:cs="Times New Roman"/>
              </w:rPr>
              <w:t>分鐘</w:t>
            </w:r>
            <w:r w:rsidRPr="000254F3">
              <w:rPr>
                <w:rFonts w:ascii="Times New Roman" w:eastAsia="標楷體" w:hAnsi="Times New Roman" w:cs="Times New Roman"/>
              </w:rPr>
              <w:t>)</w:t>
            </w:r>
            <w:r w:rsidRPr="00B627CA">
              <w:rPr>
                <w:rFonts w:ascii="標楷體" w:eastAsia="標楷體" w:hAnsi="標楷體" w:cs="Times New Roman" w:hint="eastAsia"/>
                <w:color w:val="0000FF"/>
                <w:sz w:val="20"/>
              </w:rPr>
              <w:t xml:space="preserve"> 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認識學術誠信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研究倫理定義與內涵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研究倫理專業規範與個人責任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研究倫理的政府規範與政策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不當研究行為：定義與類型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不當研究行為：捏造與篡改資料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不當研究行為：抄襲與剽竊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不當研究行為：自我抄襲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學術寫作技巧：引述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學術寫作技巧：改寫與摘寫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學術寫作技巧：引用著作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學術寫作技巧：作者定義與掛名原則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著作權基本概念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個人資料保護法基本概念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隱私權基本概念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受試者保護原則與實務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研究資料管理概述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研究中的利益衝突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lastRenderedPageBreak/>
              <w:t>19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科技部對學術倫理的相關規範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20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適當的使用研究經費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21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利益衝突：案例探討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22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研究資料處理：案例探討</w:t>
            </w:r>
          </w:p>
        </w:tc>
      </w:tr>
    </w:tbl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也可挑選有興趣的課程，自行加選。</w:t>
      </w:r>
    </w:p>
    <w:p w:rsidR="006269B4" w:rsidRPr="00A348E0" w:rsidRDefault="006269B4" w:rsidP="006269B4">
      <w:pPr>
        <w:spacing w:line="360" w:lineRule="auto"/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A7E75" wp14:editId="6B42019A">
                <wp:simplePos x="0" y="0"/>
                <wp:positionH relativeFrom="column">
                  <wp:posOffset>-198120</wp:posOffset>
                </wp:positionH>
                <wp:positionV relativeFrom="paragraph">
                  <wp:posOffset>2042160</wp:posOffset>
                </wp:positionV>
                <wp:extent cx="373380" cy="38100"/>
                <wp:effectExtent l="0" t="95250" r="0" b="11430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38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EE1A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9" o:spid="_x0000_s1026" type="#_x0000_t32" style="position:absolute;margin-left:-15.6pt;margin-top:160.8pt;width:29.4pt;height: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kz8AEAAIsDAAAOAAAAZHJzL2Uyb0RvYy54bWysU82O0zAQviPxDpbvNOlWgm7VdA8t5YKg&#10;EvAAU8dJLPlPY9O0L8GRA0iIC8fd00oceB6o9i0Yu93uLtwQOTiejOf7/H0zmV5sjWYbiUE5W/Hh&#10;oORMWuFqZduKv3u7fDLmLESwNWhnZcV3MvCL2eNH095P5JnrnK4lMgKxYdL7incx+klRBNFJA2Hg&#10;vLSUbBwaiBRiW9QIPaEbXZyV5dOid1h7dEKGQF8XhySfZfymkSK+bpogI9MVp7vFvGJe12ktZlOY&#10;tAi+U+J4DfiHWxhQlkhPUAuIwN6j+gvKKIEuuCYOhDOFaxolZNZAaoblH2redOBl1kLmBH+yKfw/&#10;WPFqs0Km6oqfc2bBUIv2n6/33z/9/Hi1v7q8+Xr568O3mx9f2HmyqvdhQhVzu8JjFPwKk+5tgya9&#10;SRHbZnt3J3vlNjJBH0fPRqMxNUFQajQeltn94q7WY4gvpDMsbSoeIoJquzh31lIfHQ6zw7B5GSKx&#10;U+FtQSK2bqm0zu3UlvW3DEwATVWjIRKv8aQz2JYz0C2Nq4iYIYPTqk7lCShgu55rZBugkVkuS3qS&#10;dKJ7cCxxLyB0h3M5dRimCEo/tzWLO09mAqLrj/XaJnyZp/KoIRl6sDDt1q7eZWeLFFHHM+1xOtNI&#10;3Y9pf/8fmv0GAAD//wMAUEsDBBQABgAIAAAAIQD2LTXo3QAAAAoBAAAPAAAAZHJzL2Rvd25yZXYu&#10;eG1sTI/dSsNAEIXvBd9hGcG7dpMUqsZsiggBEUFbfYBpdswGs7Mhu22jT+/0Sq/m73DON9Vm9oM6&#10;0hT7wAbyZQaKuA22587Ax3uzuAUVE7LFITAZ+KYIm/ryosLShhNv6bhLnRITjiUacCmNpdaxdeQx&#10;LsNILLfPMHlMMk6dthOexNwPusiytfbYsyQ4HOnRUfu1O3gDr5S5EZ+ef/zwYhu3vWv8m2uMub6a&#10;H+5BJZrTnxjO+IIOtTDtw4FtVIOBxSovRGpgVeRrUKIobqTuzwtpdF3p/y/UvwAAAP//AwBQSwEC&#10;LQAUAAYACAAAACEAtoM4kv4AAADhAQAAEwAAAAAAAAAAAAAAAAAAAAAAW0NvbnRlbnRfVHlwZXNd&#10;LnhtbFBLAQItABQABgAIAAAAIQA4/SH/1gAAAJQBAAALAAAAAAAAAAAAAAAAAC8BAABfcmVscy8u&#10;cmVsc1BLAQItABQABgAIAAAAIQB9I5kz8AEAAIsDAAAOAAAAAAAAAAAAAAAAAC4CAABkcnMvZTJv&#10;RG9jLnhtbFBLAQItABQABgAIAAAAIQD2LTXo3QAAAAoBAAAPAAAAAAAAAAAAAAAAAEoEAABkcnMv&#10;ZG93bnJldi54bWxQSwUGAAAAAAQABADzAAAAVAUAAAAA&#10;" strokecolor="red" strokeweight="3pt">
                <v:stroke endarrow="open"/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46C80" wp14:editId="02035893">
                <wp:simplePos x="0" y="0"/>
                <wp:positionH relativeFrom="column">
                  <wp:posOffset>3055620</wp:posOffset>
                </wp:positionH>
                <wp:positionV relativeFrom="paragraph">
                  <wp:posOffset>1584960</wp:posOffset>
                </wp:positionV>
                <wp:extent cx="937260" cy="289560"/>
                <wp:effectExtent l="0" t="0" r="15240" b="15240"/>
                <wp:wrapNone/>
                <wp:docPr id="11" name="橢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2895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B4D87D" id="橢圓 11" o:spid="_x0000_s1026" style="position:absolute;margin-left:240.6pt;margin-top:124.8pt;width:73.8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iuZQIAALIEAAAOAAAAZHJzL2Uyb0RvYy54bWysVEtu2zAQ3RfoHQjuG9mu8xNiB0YCFwWC&#10;JEBSZD2mSEsARbIkbTm9RrdddZeDtefoI6V82nRV1At6fhzOvHmjk9Ndq9lW+tBYM+PjvRFn0ghb&#10;NWY9459ul++OOAuRTEXaGjnj9zLw0/nbNyedK+XE1lZX0jMkMaHs3IzXMbqyKIKoZUthzzpp4FTW&#10;txSh+nVReeqQvdXFZDQ6KDrrK+etkCHAet47+TznV0qKeKVUkJHpGUdtMZ8+n6t0FvMTKteeXN2I&#10;oQz6hypaagwefUp1TpHYxjevUrWN8DZYFfeEbQurVCNk7gHdjEd/dHNTk5O5F4AT3BNM4f+lFZfb&#10;a8+aCrMbc2aoxYx+Pnz/8e0rgwHodC6UCLpx137QAsTU6k75Nv2jCbbLiN4/ISp3kQkYj98fTg6A&#10;u4BrcnS8DxlZiufLzof4QdqWJWHGpdaNC6lnKml7EWIf/RiVzMYuG61hp1Ib1iHv/nSUniDQR2mK&#10;EFuHhoJZc0Z6DV6K6HPKYHVTpevpdvDr1Zn2bEvgxnI5wm8o7rew9PY5hbqPy64hTJuURmaWDaUm&#10;tHp8krSy1T3Q9banXXBi2SDbBYV4TR48Q9nYnXiFQ2mLXuwgcVZb/+Vv9hSP8cPLWQfeos/PG/KS&#10;M/3RgBjH4+k0ET0r0/3DCRT/0rN66TGb9syifcwe1WUxxUf9KCpv2zus2CK9ChcZgbd7RAflLPb7&#10;hCUVcrHIYSC3o3hhbpxIyRNOCcfb3R15N8w6giSX9pHjr+bdx6abxi420aomk+EZV/AoKViMzKhh&#10;idPmvdRz1POnZv4LAAD//wMAUEsDBBQABgAIAAAAIQAKLEi/3wAAAAsBAAAPAAAAZHJzL2Rvd25y&#10;ZXYueG1sTI89T8MwEIZ3JP6DdUhs1KmVRGmIU9FKDMBEQcxufE2ixucodtvAr+eY6HjvPXo/qvXs&#10;BnHGKfSeNCwXCQikxtueWg2fH88PBYgQDVkzeEIN3xhgXd/eVKa0/kLveN7FVrAJhdJo6GIcSylD&#10;06EzYeFHJP4d/ORM5HNqpZ3Mhc3dIFWS5NKZnjihMyNuO2yOu5Pj3LdNqtSX2mTH4Wf7ag7ZaP2L&#10;1vd389MjiIhz/Ifhrz5Xh5o77f2JbBCDhrRYKkY1qHSVg2AiVwWP2bOyyhTIupLXG+pfAAAA//8D&#10;AFBLAQItABQABgAIAAAAIQC2gziS/gAAAOEBAAATAAAAAAAAAAAAAAAAAAAAAABbQ29udGVudF9U&#10;eXBlc10ueG1sUEsBAi0AFAAGAAgAAAAhADj9If/WAAAAlAEAAAsAAAAAAAAAAAAAAAAALwEAAF9y&#10;ZWxzLy5yZWxzUEsBAi0AFAAGAAgAAAAhADlxeK5lAgAAsgQAAA4AAAAAAAAAAAAAAAAALgIAAGRy&#10;cy9lMm9Eb2MueG1sUEsBAi0AFAAGAAgAAAAhAAosSL/fAAAACwEAAA8AAAAAAAAAAAAAAAAAvwQA&#10;AGRycy9kb3ducmV2LnhtbFBLBQYAAAAABAAEAPMAAADLBQAAAAA=&#10;" filled="f" strokecolor="red" strokeweight="2pt"/>
            </w:pict>
          </mc:Fallback>
        </mc:AlternateContent>
      </w:r>
      <w:r>
        <w:rPr>
          <w:rFonts w:eastAsia="標楷體"/>
          <w:noProof/>
        </w:rPr>
        <w:drawing>
          <wp:inline distT="0" distB="0" distL="0" distR="0" wp14:anchorId="5569AC5C" wp14:editId="52061EAA">
            <wp:extent cx="3992880" cy="2803948"/>
            <wp:effectExtent l="0" t="0" r="762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460" cy="280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加選完成後，點選「我的課表」，即可看到所有應修畢的單元。</w:t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3370C" wp14:editId="74F3B8A6">
                <wp:simplePos x="0" y="0"/>
                <wp:positionH relativeFrom="column">
                  <wp:posOffset>1150620</wp:posOffset>
                </wp:positionH>
                <wp:positionV relativeFrom="paragraph">
                  <wp:posOffset>868680</wp:posOffset>
                </wp:positionV>
                <wp:extent cx="243840" cy="106680"/>
                <wp:effectExtent l="38100" t="0" r="22860" b="6477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" cy="1066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D18180" id="直線單箭頭接點 14" o:spid="_x0000_s1026" type="#_x0000_t32" style="position:absolute;margin-left:90.6pt;margin-top:68.4pt;width:19.2pt;height:8.4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ve+gEAAJgDAAAOAAAAZHJzL2Uyb0RvYy54bWysUz2uEzEQ7pG4g+We7CaEKFpl84qEQIEg&#10;EnAAx2vvWvKfxiabXIKSAiREQ/lehUTBeSB6t2DsDdEDOsQW1ozH881838wurg5Gk72AoJyt6XhU&#10;UiIsd42ybU1fv9o8mFMSIrMN086Kmh5FoFfL+/cWva/ExHVONwIIgthQ9b6mXYy+KorAO2FYGDkv&#10;LAalA8MiutAWDbAe0Y0uJmU5K3oHjQfHRQh4ux6CdJnxpRQ8vpAyiEh0TbG3mE/I5y6dxXLBqhaY&#10;7xQ/t8H+oQvDlMWiF6g1i4y8AfUXlFEcXHAyjrgzhZNScZE5IJtx+Qeblx3zInNBcYK/yBT+Hyx/&#10;vt8CUQ3ObkqJZQZndPrw5fT1/fd3N6eb69tP1z/efr799pFgHMXqfagwZ2W3cPaC30JifpBgiNTK&#10;P0WsrAWyI4cs9fEitThEwvFyMn04n+JAOIbG5Ww2z6MoBpgE5yHEJ8IZkoyahghMtV1cOWtxqA6G&#10;Emz/LERsBBN/JaRk6zZK6zxbbUmP5R5Ny1SN4YpJzSKaxiPpYFtKmG5xd3mE3HVwWjUpPQEFaHcr&#10;DWTPcH82mxK/pAKW++1Zqr1moRve5dCwWZEp/dg2JB49CssAXH/O1zbhi7yiZw5J20HNZO1cc8wi&#10;F8nD8eey51VN+3XXR/vuD7X8CQAA//8DAFBLAwQUAAYACAAAACEAArZG2+AAAAALAQAADwAAAGRy&#10;cy9kb3ducmV2LnhtbEyPQU/DMAyF70j8h8hIXBBL24lqlKbTNIkLQpPYgHPamDbQOFWTrd2/x5zG&#10;zc9+ev5euZ5dL044ButJQbpIQCA13lhqFbwfnu9XIELUZHTvCRWcMcC6ur4qdWH8RG942sdWcAiF&#10;QivoYhwKKUPTodNh4Qckvn350enIcmylGfXE4a6XWZLk0mlL/KHTA247bH72R6cAN5+vLxJ38dve&#10;WV9/NNvdYTordXszb55ARJzjxQx/+IwOFTPV/kgmiJ71Ks3YysMy5w7syNLHHETNm4dlDrIq5f8O&#10;1S8AAAD//wMAUEsBAi0AFAAGAAgAAAAhALaDOJL+AAAA4QEAABMAAAAAAAAAAAAAAAAAAAAAAFtD&#10;b250ZW50X1R5cGVzXS54bWxQSwECLQAUAAYACAAAACEAOP0h/9YAAACUAQAACwAAAAAAAAAAAAAA&#10;AAAvAQAAX3JlbHMvLnJlbHNQSwECLQAUAAYACAAAACEAAQ4r3voBAACYAwAADgAAAAAAAAAAAAAA&#10;AAAuAgAAZHJzL2Uyb0RvYy54bWxQSwECLQAUAAYACAAAACEAArZG2+AAAAALAQAADwAAAAAAAAAA&#10;AAAAAABUBAAAZHJzL2Rvd25yZXYueG1sUEsFBgAAAAAEAAQA8wAAAGEFAAAAAA==&#10;" strokecolor="red" strokeweight="2pt">
                <v:stroke endarrow="open"/>
              </v:shape>
            </w:pict>
          </mc:Fallback>
        </mc:AlternateContent>
      </w: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w:drawing>
          <wp:inline distT="0" distB="0" distL="0" distR="0" wp14:anchorId="44FFAAB8" wp14:editId="1F453CC6">
            <wp:extent cx="4890012" cy="2103120"/>
            <wp:effectExtent l="0" t="0" r="6350" b="0"/>
            <wp:docPr id="8" name="圖片 8" descr="http://ethics103.nctu.edu.tw/Ethics103/Files/howtouse_pic/use_s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hics103.nctu.edu.tw/Ethics103/Files/howtouse_pic/use_s_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2" b="27118"/>
                    <a:stretch/>
                  </pic:blipFill>
                  <pic:spPr bwMode="auto">
                    <a:xfrm>
                      <a:off x="0" y="0"/>
                      <a:ext cx="4889905" cy="210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點選單元後</w:t>
      </w:r>
      <w:r w:rsidRPr="00A348E0">
        <w:rPr>
          <w:rFonts w:eastAsia="標楷體"/>
        </w:rPr>
        <w:t>，</w:t>
      </w:r>
      <w:r>
        <w:rPr>
          <w:rFonts w:eastAsia="標楷體" w:hint="eastAsia"/>
        </w:rPr>
        <w:t>單元右方會呈現</w:t>
      </w:r>
      <w:r>
        <w:rPr>
          <w:rFonts w:eastAsia="標楷體"/>
        </w:rPr>
        <w:t>修</w:t>
      </w:r>
      <w:r>
        <w:rPr>
          <w:rFonts w:eastAsia="標楷體" w:hint="eastAsia"/>
        </w:rPr>
        <w:t>課的日期與時間。修畢全部加選的</w:t>
      </w:r>
      <w:r w:rsidRPr="00A348E0">
        <w:rPr>
          <w:rFonts w:eastAsia="標楷體"/>
        </w:rPr>
        <w:t>單元後，</w:t>
      </w:r>
      <w:r>
        <w:rPr>
          <w:rFonts w:eastAsia="標楷體" w:hint="eastAsia"/>
        </w:rPr>
        <w:t>課表下方的「總測驗」按鈕會亮起，點擊進入測驗。</w:t>
      </w:r>
    </w:p>
    <w:p w:rsidR="006269B4" w:rsidRPr="00360D94" w:rsidRDefault="006269B4" w:rsidP="006269B4">
      <w:pPr>
        <w:spacing w:line="360" w:lineRule="auto"/>
        <w:rPr>
          <w:rFonts w:eastAsia="標楷體"/>
        </w:rPr>
      </w:pP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E3928EF" wp14:editId="31E42AB9">
            <wp:extent cx="6188847" cy="2735580"/>
            <wp:effectExtent l="0" t="0" r="2540" b="7620"/>
            <wp:docPr id="17" name="圖片 17" descr="http://ethics103.nctu.edu.tw/Ethics103/Files/howtouse_pic/use_s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thics103.nctu.edu.tw/Ethics103/Files/howtouse_pic/use_s_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07"/>
                    <a:stretch/>
                  </pic:blipFill>
                  <pic:spPr bwMode="auto">
                    <a:xfrm>
                      <a:off x="0" y="0"/>
                      <a:ext cx="6188710" cy="273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以</w:t>
      </w:r>
      <w:r>
        <w:rPr>
          <w:rFonts w:eastAsia="標楷體" w:hint="eastAsia"/>
        </w:rPr>
        <w:t>18</w:t>
      </w:r>
      <w:r>
        <w:rPr>
          <w:rFonts w:eastAsia="標楷體" w:hint="eastAsia"/>
        </w:rPr>
        <w:t>單元為例，總測驗會有</w:t>
      </w:r>
      <w:r>
        <w:rPr>
          <w:rFonts w:eastAsia="標楷體" w:hint="eastAsia"/>
        </w:rPr>
        <w:t>36</w:t>
      </w:r>
      <w:r>
        <w:rPr>
          <w:rFonts w:eastAsia="標楷體" w:hint="eastAsia"/>
        </w:rPr>
        <w:t>個單選題，自題庫中隨機選出。總測驗</w:t>
      </w:r>
      <w:r w:rsidRPr="00A348E0">
        <w:rPr>
          <w:rFonts w:eastAsia="標楷體"/>
        </w:rPr>
        <w:t>達</w:t>
      </w:r>
      <w:r w:rsidRPr="00A348E0">
        <w:rPr>
          <w:rFonts w:eastAsia="標楷體"/>
        </w:rPr>
        <w:t>80</w:t>
      </w:r>
      <w:r w:rsidRPr="00A348E0">
        <w:rPr>
          <w:rFonts w:eastAsia="標楷體"/>
        </w:rPr>
        <w:t>分以上</w:t>
      </w:r>
      <w:r>
        <w:rPr>
          <w:rFonts w:eastAsia="標楷體" w:hint="eastAsia"/>
        </w:rPr>
        <w:t>為通過，</w:t>
      </w:r>
      <w:r w:rsidRPr="00A348E0">
        <w:rPr>
          <w:rFonts w:eastAsia="標楷體"/>
        </w:rPr>
        <w:t>隔日</w:t>
      </w:r>
      <w:r>
        <w:rPr>
          <w:rFonts w:eastAsia="標楷體" w:hint="eastAsia"/>
        </w:rPr>
        <w:t>12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>
        <w:rPr>
          <w:rFonts w:eastAsia="標楷體" w:hint="eastAsia"/>
        </w:rPr>
        <w:t>後即可</w:t>
      </w:r>
      <w:r w:rsidRPr="00A348E0">
        <w:rPr>
          <w:rFonts w:eastAsia="標楷體"/>
        </w:rPr>
        <w:t>印出修課證明。證明書上</w:t>
      </w:r>
      <w:r w:rsidRPr="00A348E0">
        <w:rPr>
          <w:rFonts w:eastAsia="標楷體"/>
          <w:u w:val="wave"/>
        </w:rPr>
        <w:t>會印出修畢時數</w:t>
      </w:r>
      <w:r w:rsidRPr="00A348E0">
        <w:rPr>
          <w:rFonts w:eastAsia="標楷體"/>
        </w:rPr>
        <w:t>。</w:t>
      </w:r>
    </w:p>
    <w:p w:rsidR="008106E3" w:rsidRPr="00A348E0" w:rsidRDefault="008106E3" w:rsidP="006269B4">
      <w:pPr>
        <w:spacing w:line="360" w:lineRule="auto"/>
        <w:rPr>
          <w:rFonts w:eastAsia="標楷體"/>
        </w:rPr>
      </w:pPr>
      <w:r w:rsidRPr="008106E3">
        <w:rPr>
          <w:rFonts w:eastAsia="標楷體"/>
          <w:noProof/>
        </w:rPr>
        <w:drawing>
          <wp:inline distT="0" distB="0" distL="0" distR="0">
            <wp:extent cx="3013200" cy="4262400"/>
            <wp:effectExtent l="0" t="0" r="0" b="5080"/>
            <wp:docPr id="5" name="圖片 5" descr="C:\Users\user\Desktop\與教務處討論學術倫理課程\臺灣學術倫理教育資源中心修課證明範本\中文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與教務處討論學術倫理課程\臺灣學術倫理教育資源中心修課證明範本\中文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42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6E3">
        <w:rPr>
          <w:rFonts w:eastAsia="標楷體"/>
          <w:noProof/>
        </w:rPr>
        <w:drawing>
          <wp:inline distT="0" distB="0" distL="0" distR="0">
            <wp:extent cx="3013200" cy="4262400"/>
            <wp:effectExtent l="0" t="0" r="0" b="5080"/>
            <wp:docPr id="6" name="圖片 6" descr="C:\Users\user\Desktop\與教務處討論學術倫理課程\臺灣學術倫理教育資源中心修課證明範本\英文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與教務處討論學術倫理課程\臺灣學術倫理教育資源中心修課證明範本\英文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42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</w:p>
    <w:p w:rsidR="00504270" w:rsidRDefault="00504270" w:rsidP="00504270">
      <w:pPr>
        <w:spacing w:line="0" w:lineRule="atLeast"/>
        <w:rPr>
          <w:rFonts w:eastAsia="標楷體"/>
          <w:sz w:val="28"/>
          <w:szCs w:val="28"/>
        </w:rPr>
      </w:pPr>
    </w:p>
    <w:p w:rsidR="005357C0" w:rsidRPr="00524E9C" w:rsidRDefault="006269B4" w:rsidP="00524E9C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  <w:r w:rsidR="005357C0" w:rsidRPr="003A4FB8">
        <w:rPr>
          <w:rFonts w:eastAsia="標楷體"/>
          <w:b/>
          <w:sz w:val="28"/>
          <w:szCs w:val="28"/>
          <w:bdr w:val="single" w:sz="4" w:space="0" w:color="auto"/>
        </w:rPr>
        <w:lastRenderedPageBreak/>
        <w:t>CITI Program</w:t>
      </w:r>
    </w:p>
    <w:p w:rsidR="00743131" w:rsidRDefault="00161D5B" w:rsidP="00C76D10">
      <w:pPr>
        <w:spacing w:line="360" w:lineRule="auto"/>
        <w:rPr>
          <w:rFonts w:eastAsia="標楷體"/>
        </w:rPr>
      </w:pPr>
      <w:r>
        <w:rPr>
          <w:rFonts w:eastAsia="標楷體"/>
        </w:rPr>
        <w:t>由</w:t>
      </w:r>
      <w:r>
        <w:rPr>
          <w:rFonts w:eastAsia="標楷體" w:hint="eastAsia"/>
        </w:rPr>
        <w:t>教研人員</w:t>
      </w:r>
      <w:r w:rsidR="00535734" w:rsidRPr="00A348E0">
        <w:rPr>
          <w:rFonts w:eastAsia="標楷體"/>
        </w:rPr>
        <w:t>自行</w:t>
      </w:r>
      <w:r w:rsidR="00AA3273" w:rsidRPr="00A348E0">
        <w:rPr>
          <w:rFonts w:eastAsia="標楷體"/>
        </w:rPr>
        <w:t>進入</w:t>
      </w:r>
      <w:r w:rsidR="00AA3273" w:rsidRPr="00A348E0">
        <w:rPr>
          <w:rFonts w:eastAsia="標楷體"/>
        </w:rPr>
        <w:t>CITI</w:t>
      </w:r>
      <w:r w:rsidR="00743131">
        <w:rPr>
          <w:rFonts w:eastAsia="標楷體" w:hint="eastAsia"/>
        </w:rPr>
        <w:t xml:space="preserve"> Program</w:t>
      </w:r>
      <w:r w:rsidR="00535734" w:rsidRPr="00A348E0">
        <w:rPr>
          <w:rFonts w:eastAsia="標楷體"/>
        </w:rPr>
        <w:t>課程註冊</w:t>
      </w:r>
      <w:r w:rsidR="00743131">
        <w:rPr>
          <w:rFonts w:eastAsia="標楷體" w:hint="eastAsia"/>
        </w:rPr>
        <w:t>（</w:t>
      </w:r>
      <w:hyperlink r:id="rId13" w:history="1">
        <w:r w:rsidR="00743131" w:rsidRPr="0097305B">
          <w:rPr>
            <w:rStyle w:val="aa"/>
            <w:rFonts w:eastAsia="標楷體"/>
          </w:rPr>
          <w:t>https://about.citiprogram.org/en/homepage/</w:t>
        </w:r>
      </w:hyperlink>
      <w:r w:rsidR="00743131">
        <w:rPr>
          <w:rFonts w:eastAsia="標楷體" w:hint="eastAsia"/>
        </w:rPr>
        <w:t>），輸入機構身分（</w:t>
      </w:r>
      <w:r w:rsidR="00743131">
        <w:rPr>
          <w:rFonts w:eastAsia="標楷體" w:hint="eastAsia"/>
        </w:rPr>
        <w:t>National Taiwan University, Taiwan</w:t>
      </w:r>
      <w:r w:rsidR="004C424A">
        <w:rPr>
          <w:rFonts w:eastAsia="標楷體" w:hint="eastAsia"/>
        </w:rPr>
        <w:t>）</w:t>
      </w:r>
      <w:r w:rsidR="00270C1A">
        <w:rPr>
          <w:rFonts w:eastAsia="標楷體" w:hint="eastAsia"/>
        </w:rPr>
        <w:t>，</w:t>
      </w:r>
      <w:r w:rsidR="00270C1A" w:rsidRPr="00270C1A">
        <w:rPr>
          <w:rFonts w:eastAsia="標楷體" w:hint="eastAsia"/>
          <w:color w:val="FF0000"/>
        </w:rPr>
        <w:t>請務必輸入真實英文姓名以利後續認列</w:t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drawing>
          <wp:inline distT="0" distB="0" distL="0" distR="0">
            <wp:extent cx="4579626" cy="3276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283" cy="32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請</w:t>
      </w:r>
      <w:r>
        <w:rPr>
          <w:rFonts w:eastAsia="標楷體"/>
        </w:rPr>
        <w:t>選擇</w:t>
      </w:r>
      <w:r w:rsidR="00535734" w:rsidRPr="004C424A">
        <w:rPr>
          <w:rFonts w:eastAsia="標楷體"/>
          <w:b/>
        </w:rPr>
        <w:t>Responsible Conduct of Research</w:t>
      </w:r>
      <w:r w:rsidR="00535734" w:rsidRPr="004C424A">
        <w:rPr>
          <w:rFonts w:eastAsia="標楷體"/>
          <w:b/>
        </w:rPr>
        <w:t>（</w:t>
      </w:r>
      <w:r w:rsidR="00690414">
        <w:rPr>
          <w:rFonts w:eastAsia="標楷體" w:hint="eastAsia"/>
          <w:b/>
        </w:rPr>
        <w:t>R</w:t>
      </w:r>
      <w:r w:rsidR="00535734" w:rsidRPr="004C424A">
        <w:rPr>
          <w:rFonts w:eastAsia="標楷體"/>
          <w:b/>
        </w:rPr>
        <w:t>CR</w:t>
      </w:r>
      <w:r w:rsidR="00535734" w:rsidRPr="004C424A">
        <w:rPr>
          <w:rFonts w:eastAsia="標楷體"/>
          <w:b/>
        </w:rPr>
        <w:t>）</w:t>
      </w:r>
      <w:r>
        <w:rPr>
          <w:rFonts w:eastAsia="標楷體"/>
        </w:rPr>
        <w:t>模組</w:t>
      </w:r>
    </w:p>
    <w:p w:rsidR="00743131" w:rsidRDefault="00524E9C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drawing>
          <wp:inline distT="0" distB="0" distL="0" distR="0" wp14:anchorId="7F9487C5" wp14:editId="00299F29">
            <wp:extent cx="4579200" cy="36775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200" cy="367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lastRenderedPageBreak/>
        <w:drawing>
          <wp:inline distT="0" distB="0" distL="0" distR="0">
            <wp:extent cx="4900889" cy="3276000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89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AD7" w:rsidRPr="006E2AD7" w:rsidRDefault="00743131" w:rsidP="006E2AD7">
      <w:pPr>
        <w:spacing w:line="360" w:lineRule="auto"/>
        <w:rPr>
          <w:rFonts w:eastAsia="標楷體"/>
        </w:rPr>
      </w:pPr>
      <w:r w:rsidRPr="00FE396E">
        <w:rPr>
          <w:rFonts w:eastAsia="標楷體" w:hint="eastAsia"/>
          <w:color w:val="FF0000"/>
        </w:rPr>
        <w:t>選取</w:t>
      </w:r>
      <w:r w:rsidRPr="00FE396E">
        <w:rPr>
          <w:rFonts w:eastAsia="標楷體" w:hint="eastAsia"/>
          <w:color w:val="FF0000"/>
        </w:rPr>
        <w:t>RCR</w:t>
      </w:r>
      <w:r w:rsidRPr="00FE396E">
        <w:rPr>
          <w:rFonts w:eastAsia="標楷體" w:hint="eastAsia"/>
          <w:color w:val="FF0000"/>
        </w:rPr>
        <w:t>模組</w:t>
      </w:r>
      <w:r>
        <w:rPr>
          <w:rFonts w:eastAsia="標楷體" w:hint="eastAsia"/>
        </w:rPr>
        <w:t>進入修課，</w:t>
      </w:r>
      <w:r w:rsidR="00EA0249" w:rsidRPr="00A348E0">
        <w:rPr>
          <w:rFonts w:eastAsia="標楷體"/>
        </w:rPr>
        <w:t>必修</w:t>
      </w:r>
      <w:r>
        <w:rPr>
          <w:rFonts w:eastAsia="標楷體"/>
        </w:rPr>
        <w:t>課程</w:t>
      </w:r>
      <w:r>
        <w:rPr>
          <w:rFonts w:eastAsia="標楷體" w:hint="eastAsia"/>
        </w:rPr>
        <w:t>有</w:t>
      </w:r>
      <w:r w:rsidR="00F762DB">
        <w:rPr>
          <w:rFonts w:eastAsia="標楷體" w:hint="eastAsia"/>
        </w:rPr>
        <w:t>12</w:t>
      </w:r>
      <w:r w:rsidR="006D2362">
        <w:rPr>
          <w:rFonts w:eastAsia="標楷體" w:hint="eastAsia"/>
        </w:rPr>
        <w:t>個</w:t>
      </w:r>
      <w:r w:rsidR="006E2AD7">
        <w:rPr>
          <w:rFonts w:eastAsia="標楷體" w:hint="eastAsia"/>
        </w:rPr>
        <w:t>：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Introduction to RCR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Authorship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Collaborative Research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Conflicts of Interest (RCR-Basic) </w:t>
      </w:r>
    </w:p>
    <w:p w:rsidR="006E2AD7" w:rsidRPr="006D2362" w:rsidRDefault="006E2AD7" w:rsidP="006D2362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Data Management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Mentoring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Peer Review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Plagiarism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Research Involving Human Subjects (RCR-Basic) </w:t>
      </w:r>
    </w:p>
    <w:p w:rsidR="006E2AD7" w:rsidRDefault="006E2AD7" w:rsidP="00524E9C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Research Misconduct (RCR-Basic) </w:t>
      </w:r>
    </w:p>
    <w:p w:rsidR="006E2AD7" w:rsidRPr="00172A54" w:rsidRDefault="00172A54" w:rsidP="00E5743D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172A54">
        <w:rPr>
          <w:rFonts w:eastAsia="標楷體"/>
        </w:rPr>
        <w:t>Financial Responsibility</w:t>
      </w:r>
      <w:r w:rsidR="00B80078" w:rsidRPr="00A348E0">
        <w:rPr>
          <w:rFonts w:eastAsia="標楷體"/>
        </w:rPr>
        <w:t xml:space="preserve"> (RCR-Basic)</w:t>
      </w:r>
    </w:p>
    <w:p w:rsidR="00172A54" w:rsidRPr="00E5743D" w:rsidRDefault="00172A54" w:rsidP="00E5743D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172A54">
        <w:rPr>
          <w:rFonts w:eastAsia="標楷體"/>
        </w:rPr>
        <w:t>Research,Ethics,and Society</w:t>
      </w:r>
      <w:r w:rsidR="00B80078" w:rsidRPr="00A348E0">
        <w:rPr>
          <w:rFonts w:eastAsia="標楷體"/>
        </w:rPr>
        <w:t xml:space="preserve"> (RCR-Basic)</w:t>
      </w:r>
    </w:p>
    <w:p w:rsidR="005357C0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全部單元修畢並達到臺大預設的通過總標準（</w:t>
      </w:r>
      <w:r>
        <w:rPr>
          <w:rFonts w:eastAsia="標楷體" w:hint="eastAsia"/>
        </w:rPr>
        <w:t>80%</w:t>
      </w:r>
      <w:r>
        <w:rPr>
          <w:rFonts w:eastAsia="標楷體" w:hint="eastAsia"/>
        </w:rPr>
        <w:t>），即可產生</w:t>
      </w:r>
      <w:r w:rsidR="006E2AD7">
        <w:rPr>
          <w:rFonts w:eastAsia="標楷體" w:hint="eastAsia"/>
        </w:rPr>
        <w:t>Certificate</w:t>
      </w:r>
      <w:r w:rsidR="006E2AD7">
        <w:rPr>
          <w:rFonts w:eastAsia="標楷體" w:hint="eastAsia"/>
        </w:rPr>
        <w:t>（三年有效）</w:t>
      </w:r>
    </w:p>
    <w:p w:rsidR="00440960" w:rsidRPr="00440960" w:rsidRDefault="00524E9C" w:rsidP="006D2362">
      <w:pPr>
        <w:spacing w:line="360" w:lineRule="auto"/>
        <w:rPr>
          <w:rFonts w:eastAsia="標楷體"/>
        </w:rPr>
      </w:pPr>
      <w:bookmarkStart w:id="1" w:name="臺灣學術倫理教育資源中心"/>
      <w:bookmarkEnd w:id="1"/>
      <w:r>
        <w:rPr>
          <w:rFonts w:eastAsia="標楷體" w:hint="eastAsia"/>
          <w:noProof/>
        </w:rPr>
        <w:drawing>
          <wp:inline distT="0" distB="0" distL="0" distR="0" wp14:anchorId="1589863A" wp14:editId="57EF15B1">
            <wp:extent cx="2433600" cy="1879200"/>
            <wp:effectExtent l="0" t="0" r="5080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I Program certi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60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960" w:rsidRPr="00440960" w:rsidSect="00C76D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E23" w:rsidRDefault="00B60E23" w:rsidP="004959FF">
      <w:r>
        <w:separator/>
      </w:r>
    </w:p>
  </w:endnote>
  <w:endnote w:type="continuationSeparator" w:id="0">
    <w:p w:rsidR="00B60E23" w:rsidRDefault="00B60E23" w:rsidP="0049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E23" w:rsidRDefault="00B60E23" w:rsidP="004959FF">
      <w:r>
        <w:separator/>
      </w:r>
    </w:p>
  </w:footnote>
  <w:footnote w:type="continuationSeparator" w:id="0">
    <w:p w:rsidR="00B60E23" w:rsidRDefault="00B60E23" w:rsidP="0049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0D6"/>
    <w:multiLevelType w:val="hybridMultilevel"/>
    <w:tmpl w:val="363266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971EE"/>
    <w:multiLevelType w:val="hybridMultilevel"/>
    <w:tmpl w:val="0DF60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9047F"/>
    <w:multiLevelType w:val="hybridMultilevel"/>
    <w:tmpl w:val="57C6BE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1DCAE5A">
      <w:start w:val="1"/>
      <w:numFmt w:val="decimal"/>
      <w:lvlText w:val="(%2)"/>
      <w:lvlJc w:val="left"/>
      <w:pPr>
        <w:ind w:left="960" w:hanging="48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722C6C"/>
    <w:multiLevelType w:val="hybridMultilevel"/>
    <w:tmpl w:val="D4CAC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01054B"/>
    <w:multiLevelType w:val="hybridMultilevel"/>
    <w:tmpl w:val="A1629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4734F"/>
    <w:multiLevelType w:val="hybridMultilevel"/>
    <w:tmpl w:val="FD26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5A2BE6"/>
    <w:multiLevelType w:val="hybridMultilevel"/>
    <w:tmpl w:val="8CBED1E8"/>
    <w:lvl w:ilvl="0" w:tplc="C1DCAE5A">
      <w:start w:val="1"/>
      <w:numFmt w:val="decimal"/>
      <w:lvlText w:val="(%1)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0FA1A98"/>
    <w:multiLevelType w:val="hybridMultilevel"/>
    <w:tmpl w:val="052004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321608"/>
    <w:multiLevelType w:val="hybridMultilevel"/>
    <w:tmpl w:val="D81EAFCE"/>
    <w:lvl w:ilvl="0" w:tplc="E7846302">
      <w:numFmt w:val="bullet"/>
      <w:lvlText w:val="◎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E02081C"/>
    <w:multiLevelType w:val="hybridMultilevel"/>
    <w:tmpl w:val="568CAB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C0"/>
    <w:rsid w:val="000543AF"/>
    <w:rsid w:val="000A7E63"/>
    <w:rsid w:val="000B2885"/>
    <w:rsid w:val="00161D5B"/>
    <w:rsid w:val="00170F72"/>
    <w:rsid w:val="00172A54"/>
    <w:rsid w:val="002311DF"/>
    <w:rsid w:val="00270C1A"/>
    <w:rsid w:val="002969DB"/>
    <w:rsid w:val="002C68D2"/>
    <w:rsid w:val="002E3B0B"/>
    <w:rsid w:val="002F2E38"/>
    <w:rsid w:val="0031437A"/>
    <w:rsid w:val="00360D94"/>
    <w:rsid w:val="003670E2"/>
    <w:rsid w:val="003A4FB8"/>
    <w:rsid w:val="003D6560"/>
    <w:rsid w:val="00440960"/>
    <w:rsid w:val="00443E28"/>
    <w:rsid w:val="00487EEB"/>
    <w:rsid w:val="00493D8D"/>
    <w:rsid w:val="004959FF"/>
    <w:rsid w:val="004A3847"/>
    <w:rsid w:val="004B7278"/>
    <w:rsid w:val="004C424A"/>
    <w:rsid w:val="004E2AC4"/>
    <w:rsid w:val="004F3052"/>
    <w:rsid w:val="00504270"/>
    <w:rsid w:val="00524E9C"/>
    <w:rsid w:val="0052771A"/>
    <w:rsid w:val="00535734"/>
    <w:rsid w:val="005357C0"/>
    <w:rsid w:val="00587998"/>
    <w:rsid w:val="005F769F"/>
    <w:rsid w:val="006269B4"/>
    <w:rsid w:val="00690414"/>
    <w:rsid w:val="006D2362"/>
    <w:rsid w:val="006E2AD7"/>
    <w:rsid w:val="006F0247"/>
    <w:rsid w:val="00743131"/>
    <w:rsid w:val="007D4CCA"/>
    <w:rsid w:val="008106E3"/>
    <w:rsid w:val="0089596C"/>
    <w:rsid w:val="008A06FB"/>
    <w:rsid w:val="008B33A4"/>
    <w:rsid w:val="008E1C64"/>
    <w:rsid w:val="0097305B"/>
    <w:rsid w:val="00991F0F"/>
    <w:rsid w:val="009A71D4"/>
    <w:rsid w:val="00A30746"/>
    <w:rsid w:val="00A348E0"/>
    <w:rsid w:val="00A35BC7"/>
    <w:rsid w:val="00A90FA9"/>
    <w:rsid w:val="00AA3273"/>
    <w:rsid w:val="00AE3CFC"/>
    <w:rsid w:val="00B17AF0"/>
    <w:rsid w:val="00B60E23"/>
    <w:rsid w:val="00B80078"/>
    <w:rsid w:val="00C35FA2"/>
    <w:rsid w:val="00C76D10"/>
    <w:rsid w:val="00D31172"/>
    <w:rsid w:val="00D81E97"/>
    <w:rsid w:val="00DA167F"/>
    <w:rsid w:val="00DD2C6B"/>
    <w:rsid w:val="00E52ABE"/>
    <w:rsid w:val="00E53CE1"/>
    <w:rsid w:val="00E5743D"/>
    <w:rsid w:val="00EA0249"/>
    <w:rsid w:val="00EF1928"/>
    <w:rsid w:val="00EF6613"/>
    <w:rsid w:val="00F019B0"/>
    <w:rsid w:val="00F13874"/>
    <w:rsid w:val="00F264F6"/>
    <w:rsid w:val="00F37E36"/>
    <w:rsid w:val="00F46007"/>
    <w:rsid w:val="00F762DB"/>
    <w:rsid w:val="00FA3311"/>
    <w:rsid w:val="00FD2B10"/>
    <w:rsid w:val="00FE396E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5A6EA9-467B-455C-8F41-291513EB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7C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A3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A32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5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59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5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59FF"/>
    <w:rPr>
      <w:sz w:val="20"/>
      <w:szCs w:val="20"/>
    </w:rPr>
  </w:style>
  <w:style w:type="character" w:styleId="aa">
    <w:name w:val="Hyperlink"/>
    <w:basedOn w:val="a0"/>
    <w:uiPriority w:val="99"/>
    <w:unhideWhenUsed/>
    <w:rsid w:val="0097305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2771A"/>
    <w:rPr>
      <w:color w:val="800080" w:themeColor="followedHyperlink"/>
      <w:u w:val="single"/>
    </w:rPr>
  </w:style>
  <w:style w:type="table" w:styleId="ac">
    <w:name w:val="Table Grid"/>
    <w:basedOn w:val="a1"/>
    <w:uiPriority w:val="39"/>
    <w:rsid w:val="0052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c"/>
    <w:uiPriority w:val="39"/>
    <w:rsid w:val="0044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bout.citiprogram.org/en/homepag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2AEE0-212A-43C4-8281-B35F9F13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2017-09-06T15:59:00Z</cp:lastPrinted>
  <dcterms:created xsi:type="dcterms:W3CDTF">2018-07-05T01:36:00Z</dcterms:created>
  <dcterms:modified xsi:type="dcterms:W3CDTF">2020-04-17T08:26:00Z</dcterms:modified>
</cp:coreProperties>
</file>