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0E" w:rsidRPr="005B439A" w:rsidRDefault="004A66A0" w:rsidP="00EE7AC0">
      <w:pPr>
        <w:spacing w:line="320" w:lineRule="exact"/>
        <w:contextualSpacing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5B439A">
        <w:rPr>
          <w:rFonts w:ascii="Times New Roman" w:eastAsia="標楷體" w:hAnsi="Times New Roman" w:cs="Times New Roman" w:hint="eastAsia"/>
          <w:b/>
          <w:sz w:val="28"/>
          <w:szCs w:val="28"/>
        </w:rPr>
        <w:t>衛生福利部</w:t>
      </w:r>
      <w:r w:rsidR="007F7B49" w:rsidRPr="005B439A">
        <w:rPr>
          <w:rFonts w:ascii="Times New Roman" w:eastAsia="標楷體" w:hAnsi="Times New Roman" w:cs="Times New Roman"/>
          <w:b/>
          <w:sz w:val="28"/>
          <w:szCs w:val="28"/>
        </w:rPr>
        <w:t>食品藥物管理署</w:t>
      </w:r>
      <w:r w:rsidR="001A4A2F" w:rsidRPr="005B439A">
        <w:rPr>
          <w:rFonts w:ascii="Times New Roman" w:eastAsia="標楷體" w:hAnsi="Times New Roman" w:cs="Times New Roman"/>
          <w:b/>
          <w:sz w:val="28"/>
          <w:szCs w:val="28"/>
        </w:rPr>
        <w:t>學術倫理案件處理及審議要點</w:t>
      </w:r>
      <w:bookmarkEnd w:id="0"/>
    </w:p>
    <w:p w:rsidR="001A4A2F" w:rsidRPr="005B439A" w:rsidRDefault="00E3426D" w:rsidP="007B0109">
      <w:pPr>
        <w:spacing w:line="320" w:lineRule="exact"/>
        <w:contextualSpacing/>
        <w:jc w:val="right"/>
        <w:rPr>
          <w:rFonts w:ascii="Times New Roman" w:eastAsia="標楷體" w:hAnsi="Times New Roman" w:cs="Times New Roman"/>
          <w:color w:val="000000"/>
          <w:sz w:val="22"/>
        </w:rPr>
      </w:pPr>
      <w:r w:rsidRPr="005B439A">
        <w:rPr>
          <w:rFonts w:ascii="Times New Roman" w:eastAsia="標楷體" w:hAnsi="Times New Roman" w:cs="Times New Roman"/>
          <w:color w:val="000000"/>
          <w:sz w:val="22"/>
        </w:rPr>
        <w:t>107</w:t>
      </w:r>
      <w:r w:rsidR="007B0109" w:rsidRPr="005B439A">
        <w:rPr>
          <w:rFonts w:ascii="Times New Roman" w:eastAsia="標楷體" w:hAnsi="Times New Roman" w:cs="Times New Roman"/>
          <w:color w:val="000000"/>
          <w:sz w:val="22"/>
        </w:rPr>
        <w:t>年</w:t>
      </w:r>
      <w:r w:rsidR="004A66A0" w:rsidRPr="005B439A">
        <w:rPr>
          <w:rFonts w:ascii="Times New Roman" w:eastAsia="標楷體" w:hAnsi="Times New Roman" w:cs="Times New Roman" w:hint="eastAsia"/>
          <w:color w:val="000000"/>
          <w:sz w:val="22"/>
        </w:rPr>
        <w:t>05</w:t>
      </w:r>
      <w:r w:rsidR="007B0109" w:rsidRPr="005B439A">
        <w:rPr>
          <w:rFonts w:ascii="Times New Roman" w:eastAsia="標楷體" w:hAnsi="Times New Roman" w:cs="Times New Roman"/>
          <w:color w:val="000000"/>
          <w:sz w:val="22"/>
        </w:rPr>
        <w:t>月</w:t>
      </w:r>
      <w:r w:rsidR="004A66A0" w:rsidRPr="005B439A">
        <w:rPr>
          <w:rFonts w:ascii="Times New Roman" w:eastAsia="標楷體" w:hAnsi="Times New Roman" w:cs="Times New Roman" w:hint="eastAsia"/>
          <w:color w:val="000000"/>
          <w:sz w:val="22"/>
        </w:rPr>
        <w:t>17</w:t>
      </w:r>
      <w:r w:rsidR="007B0109" w:rsidRPr="005B439A">
        <w:rPr>
          <w:rFonts w:ascii="Times New Roman" w:eastAsia="標楷體" w:hAnsi="Times New Roman" w:cs="Times New Roman"/>
          <w:color w:val="000000"/>
          <w:sz w:val="22"/>
        </w:rPr>
        <w:t>日訂定</w:t>
      </w:r>
    </w:p>
    <w:p w:rsidR="007B0109" w:rsidRPr="005B439A" w:rsidRDefault="007B0109" w:rsidP="007B0109">
      <w:pPr>
        <w:spacing w:line="320" w:lineRule="exact"/>
        <w:contextualSpacing/>
        <w:jc w:val="right"/>
        <w:rPr>
          <w:rFonts w:ascii="Times New Roman" w:eastAsia="標楷體" w:hAnsi="Times New Roman" w:cs="Times New Roman"/>
          <w:szCs w:val="24"/>
        </w:rPr>
      </w:pPr>
    </w:p>
    <w:p w:rsidR="001A4A2F" w:rsidRPr="005B439A" w:rsidRDefault="007F7B49" w:rsidP="000A4438">
      <w:pPr>
        <w:pStyle w:val="a7"/>
        <w:widowControl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B439A">
        <w:rPr>
          <w:rFonts w:ascii="Times New Roman" w:eastAsia="標楷體" w:hAnsi="Times New Roman" w:cs="Times New Roman"/>
          <w:kern w:val="0"/>
          <w:szCs w:val="24"/>
        </w:rPr>
        <w:t>食品藥物管理署</w:t>
      </w:r>
      <w:r w:rsidR="00625630" w:rsidRPr="005B439A">
        <w:rPr>
          <w:rFonts w:ascii="Times New Roman" w:eastAsia="標楷體" w:hAnsi="Times New Roman" w:cs="Times New Roman"/>
        </w:rPr>
        <w:t>（</w:t>
      </w:r>
      <w:r w:rsidR="001A4A2F" w:rsidRPr="005B439A">
        <w:rPr>
          <w:rFonts w:ascii="Times New Roman" w:eastAsia="標楷體" w:hAnsi="Times New Roman" w:cs="Times New Roman"/>
          <w:kern w:val="0"/>
          <w:szCs w:val="24"/>
        </w:rPr>
        <w:t>以下簡稱本</w:t>
      </w:r>
      <w:r w:rsidRPr="005B439A">
        <w:rPr>
          <w:rFonts w:ascii="Times New Roman" w:eastAsia="標楷體" w:hAnsi="Times New Roman" w:cs="Times New Roman"/>
          <w:kern w:val="0"/>
          <w:szCs w:val="24"/>
        </w:rPr>
        <w:t>署</w:t>
      </w:r>
      <w:r w:rsidR="00625630" w:rsidRPr="005B439A">
        <w:rPr>
          <w:rFonts w:ascii="Times New Roman" w:eastAsia="標楷體" w:hAnsi="Times New Roman" w:cs="Times New Roman"/>
        </w:rPr>
        <w:t>）</w:t>
      </w:r>
      <w:r w:rsidR="001A4A2F" w:rsidRPr="005B439A">
        <w:rPr>
          <w:rFonts w:ascii="Times New Roman" w:eastAsia="標楷體" w:hAnsi="Times New Roman" w:cs="Times New Roman"/>
          <w:kern w:val="0"/>
          <w:szCs w:val="24"/>
        </w:rPr>
        <w:t>為確立違反學術倫理案件客觀公正之處理程序，特訂定本要點。</w:t>
      </w:r>
    </w:p>
    <w:p w:rsidR="001A4A2F" w:rsidRPr="005B439A" w:rsidRDefault="001A4A2F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本要點適用</w:t>
      </w:r>
      <w:r w:rsidR="004420D8" w:rsidRPr="005B439A">
        <w:rPr>
          <w:rFonts w:ascii="Times New Roman" w:eastAsia="標楷體" w:hAnsi="Times New Roman" w:cs="Times New Roman"/>
        </w:rPr>
        <w:t>對象為</w:t>
      </w:r>
      <w:r w:rsidRPr="005B439A">
        <w:rPr>
          <w:rFonts w:ascii="Times New Roman" w:eastAsia="標楷體" w:hAnsi="Times New Roman" w:cs="Times New Roman"/>
        </w:rPr>
        <w:t>申請或取得本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="008437E3" w:rsidRPr="005B439A">
        <w:rPr>
          <w:rFonts w:ascii="Times New Roman" w:eastAsia="標楷體" w:hAnsi="Times New Roman" w:cs="Times New Roman"/>
        </w:rPr>
        <w:t>補</w:t>
      </w:r>
      <w:r w:rsidR="00625630" w:rsidRPr="005B439A">
        <w:rPr>
          <w:rFonts w:ascii="Times New Roman" w:eastAsia="標楷體" w:hAnsi="Times New Roman" w:cs="Times New Roman"/>
        </w:rPr>
        <w:t>（</w:t>
      </w:r>
      <w:r w:rsidR="008437E3" w:rsidRPr="005B439A">
        <w:rPr>
          <w:rFonts w:ascii="Times New Roman" w:eastAsia="標楷體" w:hAnsi="Times New Roman" w:cs="Times New Roman"/>
        </w:rPr>
        <w:t>捐</w:t>
      </w:r>
      <w:r w:rsidR="00625630" w:rsidRPr="005B439A">
        <w:rPr>
          <w:rFonts w:ascii="Times New Roman" w:eastAsia="標楷體" w:hAnsi="Times New Roman" w:cs="Times New Roman"/>
        </w:rPr>
        <w:t>）</w:t>
      </w:r>
      <w:r w:rsidR="008437E3" w:rsidRPr="005B439A">
        <w:rPr>
          <w:rFonts w:ascii="Times New Roman" w:eastAsia="標楷體" w:hAnsi="Times New Roman" w:cs="Times New Roman"/>
        </w:rPr>
        <w:t>助、委託</w:t>
      </w:r>
      <w:r w:rsidR="00B72769" w:rsidRPr="005B439A">
        <w:rPr>
          <w:rFonts w:ascii="Times New Roman" w:eastAsia="標楷體" w:hAnsi="Times New Roman" w:cs="Times New Roman"/>
        </w:rPr>
        <w:t>計畫</w:t>
      </w:r>
      <w:r w:rsidR="00BB30BD" w:rsidRPr="005B439A">
        <w:rPr>
          <w:rFonts w:ascii="Times New Roman" w:eastAsia="標楷體" w:hAnsi="Times New Roman" w:cs="Times New Roman"/>
        </w:rPr>
        <w:t>，</w:t>
      </w:r>
      <w:r w:rsidRPr="005B439A">
        <w:rPr>
          <w:rFonts w:ascii="Times New Roman" w:eastAsia="標楷體" w:hAnsi="Times New Roman" w:cs="Times New Roman"/>
        </w:rPr>
        <w:t>或其他相關</w:t>
      </w:r>
      <w:r w:rsidR="008437E3" w:rsidRPr="005B439A">
        <w:rPr>
          <w:rFonts w:ascii="Times New Roman" w:eastAsia="標楷體" w:hAnsi="Times New Roman" w:cs="Times New Roman"/>
        </w:rPr>
        <w:t>獎</w:t>
      </w:r>
      <w:r w:rsidRPr="005B439A">
        <w:rPr>
          <w:rFonts w:ascii="Times New Roman" w:eastAsia="標楷體" w:hAnsi="Times New Roman" w:cs="Times New Roman"/>
        </w:rPr>
        <w:t>補助之研究人員。</w:t>
      </w:r>
    </w:p>
    <w:p w:rsidR="00FA1064" w:rsidRPr="005B439A" w:rsidRDefault="00B8382F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本要點所稱違反學術倫理，指研究人員有下列情形之一，致</w:t>
      </w:r>
      <w:r w:rsidR="00FA1064" w:rsidRPr="005B439A">
        <w:rPr>
          <w:rFonts w:ascii="Times New Roman" w:eastAsia="標楷體" w:hAnsi="Times New Roman" w:cs="Times New Roman"/>
        </w:rPr>
        <w:t>嚴重影響本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="00FA1064" w:rsidRPr="005B439A">
        <w:rPr>
          <w:rFonts w:ascii="Times New Roman" w:eastAsia="標楷體" w:hAnsi="Times New Roman" w:cs="Times New Roman"/>
        </w:rPr>
        <w:t>審查判斷或資源分配公正之虞者：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造假：虛構不存在之申請資料、研究資料或研究成果。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變造：不實變更申請資料、研究資料或研究成果。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抄襲：援用他人之申請資料、研究資料或研究成果未註明出處。註明出處不當情節重大者，以抄襲論。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隱匿其部分內容為已發表之成果或著作。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未經註明而重複發表，致研究成果重複計算</w:t>
      </w:r>
      <w:r w:rsidR="008324CB" w:rsidRPr="005B439A">
        <w:rPr>
          <w:rFonts w:ascii="Times New Roman" w:eastAsia="標楷體" w:hAnsi="Times New Roman" w:cs="Times New Roman"/>
        </w:rPr>
        <w:t>。</w:t>
      </w:r>
      <w:r w:rsidR="00FB041D" w:rsidRPr="005B439A">
        <w:rPr>
          <w:rFonts w:ascii="Times New Roman" w:eastAsia="標楷體" w:hAnsi="Times New Roman" w:cs="Times New Roman"/>
        </w:rPr>
        <w:t>但已註明者，不在此限</w:t>
      </w:r>
      <w:r w:rsidRPr="005B439A">
        <w:rPr>
          <w:rFonts w:ascii="Times New Roman" w:eastAsia="標楷體" w:hAnsi="Times New Roman" w:cs="Times New Roman"/>
        </w:rPr>
        <w:t>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研究計畫或論文大幅引用自己已發表之著作，未適當引註。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以違法或不當手段影響論文審查。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其他違反學術倫理行為，經本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學術倫理審議會議決通過。</w:t>
      </w:r>
    </w:p>
    <w:p w:rsidR="00FA1064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設</w:t>
      </w:r>
      <w:r w:rsidR="006264A9" w:rsidRPr="005B439A">
        <w:rPr>
          <w:rFonts w:ascii="Times New Roman" w:eastAsia="標楷體" w:hAnsi="Times New Roman" w:cs="Times New Roman"/>
        </w:rPr>
        <w:t>置</w:t>
      </w:r>
      <w:r w:rsidRPr="005B439A">
        <w:rPr>
          <w:rFonts w:ascii="Times New Roman" w:eastAsia="標楷體" w:hAnsi="Times New Roman" w:cs="Times New Roman"/>
        </w:rPr>
        <w:t>學術倫理審議會，審議學術倫理案件。</w:t>
      </w:r>
    </w:p>
    <w:p w:rsidR="00611210" w:rsidRPr="005B439A" w:rsidRDefault="005173A9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學術倫理審議會置委員九人至十五人，由本</w:t>
      </w:r>
      <w:r w:rsidR="007F7B49" w:rsidRPr="005B439A">
        <w:rPr>
          <w:rFonts w:ascii="Times New Roman" w:eastAsia="標楷體" w:hAnsi="Times New Roman" w:cs="Times New Roman"/>
        </w:rPr>
        <w:t>署署長就本署</w:t>
      </w:r>
      <w:r w:rsidRPr="005B439A">
        <w:rPr>
          <w:rFonts w:ascii="Times New Roman" w:eastAsia="標楷體" w:hAnsi="Times New Roman" w:cs="Times New Roman"/>
        </w:rPr>
        <w:t>相關主管、學者專家或律師派</w:t>
      </w:r>
      <w:r w:rsidR="00625630" w:rsidRPr="005B439A">
        <w:rPr>
          <w:rFonts w:ascii="Times New Roman" w:eastAsia="標楷體" w:hAnsi="Times New Roman" w:cs="Times New Roman"/>
        </w:rPr>
        <w:t>（</w:t>
      </w:r>
      <w:r w:rsidRPr="005B439A">
        <w:rPr>
          <w:rFonts w:ascii="Times New Roman" w:eastAsia="標楷體" w:hAnsi="Times New Roman" w:cs="Times New Roman"/>
        </w:rPr>
        <w:t>聘</w:t>
      </w:r>
      <w:r w:rsidR="00625630" w:rsidRPr="005B439A">
        <w:rPr>
          <w:rFonts w:ascii="Times New Roman" w:eastAsia="標楷體" w:hAnsi="Times New Roman" w:cs="Times New Roman"/>
        </w:rPr>
        <w:t>）</w:t>
      </w:r>
      <w:r w:rsidR="00EE7AC0" w:rsidRPr="005B439A">
        <w:rPr>
          <w:rFonts w:ascii="Times New Roman" w:eastAsia="標楷體" w:hAnsi="Times New Roman" w:cs="Times New Roman"/>
        </w:rPr>
        <w:t>兼之。</w:t>
      </w:r>
      <w:r w:rsidRPr="005B439A">
        <w:rPr>
          <w:rFonts w:ascii="Times New Roman" w:eastAsia="標楷體" w:hAnsi="Times New Roman" w:cs="Times New Roman"/>
        </w:rPr>
        <w:t>委員</w:t>
      </w:r>
      <w:r w:rsidR="008324CB" w:rsidRPr="005B439A">
        <w:rPr>
          <w:rFonts w:ascii="Times New Roman" w:eastAsia="標楷體" w:hAnsi="Times New Roman" w:cs="Times New Roman"/>
        </w:rPr>
        <w:t>其中一人為召</w:t>
      </w:r>
      <w:r w:rsidR="00EE7AC0" w:rsidRPr="005B439A">
        <w:rPr>
          <w:rFonts w:ascii="Times New Roman" w:eastAsia="標楷體" w:hAnsi="Times New Roman" w:cs="Times New Roman"/>
        </w:rPr>
        <w:t>集人，由本</w:t>
      </w:r>
      <w:r w:rsidR="007F7B49" w:rsidRPr="005B439A">
        <w:rPr>
          <w:rFonts w:ascii="Times New Roman" w:eastAsia="標楷體" w:hAnsi="Times New Roman" w:cs="Times New Roman"/>
        </w:rPr>
        <w:t>署署</w:t>
      </w:r>
      <w:r w:rsidR="00EE7AC0" w:rsidRPr="005B439A">
        <w:rPr>
          <w:rFonts w:ascii="Times New Roman" w:eastAsia="標楷體" w:hAnsi="Times New Roman" w:cs="Times New Roman"/>
        </w:rPr>
        <w:t>長指派</w:t>
      </w:r>
      <w:r w:rsidR="007F7B49" w:rsidRPr="005B439A">
        <w:rPr>
          <w:rFonts w:ascii="Times New Roman" w:eastAsia="標楷體" w:hAnsi="Times New Roman" w:cs="Times New Roman"/>
        </w:rPr>
        <w:t>副署長</w:t>
      </w:r>
      <w:r w:rsidR="00EE7AC0" w:rsidRPr="005B439A">
        <w:rPr>
          <w:rFonts w:ascii="Times New Roman" w:eastAsia="標楷體" w:hAnsi="Times New Roman" w:cs="Times New Roman"/>
        </w:rPr>
        <w:t>一人擔任；任一性別委員不得少於委員總數三分之一</w:t>
      </w:r>
      <w:r w:rsidRPr="005B439A">
        <w:rPr>
          <w:rFonts w:ascii="Times New Roman" w:eastAsia="標楷體" w:hAnsi="Times New Roman" w:cs="Times New Roman"/>
        </w:rPr>
        <w:t>。</w:t>
      </w:r>
    </w:p>
    <w:p w:rsidR="00611210" w:rsidRPr="005B439A" w:rsidRDefault="00611210" w:rsidP="00E036A7">
      <w:pPr>
        <w:pStyle w:val="HTML"/>
        <w:shd w:val="clear" w:color="auto" w:fill="FFFFFF"/>
        <w:spacing w:line="320" w:lineRule="exact"/>
        <w:ind w:left="48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學術倫理審議會委員任期二年，期滿得續派</w:t>
      </w:r>
      <w:r w:rsidR="00625630" w:rsidRPr="005B439A">
        <w:rPr>
          <w:rFonts w:ascii="Times New Roman" w:eastAsia="標楷體" w:hAnsi="Times New Roman" w:cs="Times New Roman"/>
        </w:rPr>
        <w:t>（</w:t>
      </w:r>
      <w:r w:rsidRPr="005B439A">
        <w:rPr>
          <w:rFonts w:ascii="Times New Roman" w:eastAsia="標楷體" w:hAnsi="Times New Roman" w:cs="Times New Roman"/>
        </w:rPr>
        <w:t>聘</w:t>
      </w:r>
      <w:r w:rsidR="00625630" w:rsidRPr="005B439A">
        <w:rPr>
          <w:rFonts w:ascii="Times New Roman" w:eastAsia="標楷體" w:hAnsi="Times New Roman" w:cs="Times New Roman"/>
        </w:rPr>
        <w:t>）</w:t>
      </w:r>
      <w:r w:rsidRPr="005B439A">
        <w:rPr>
          <w:rFonts w:ascii="Times New Roman" w:eastAsia="標楷體" w:hAnsi="Times New Roman" w:cs="Times New Roman"/>
        </w:rPr>
        <w:t>之。</w:t>
      </w:r>
    </w:p>
    <w:p w:rsidR="00611210" w:rsidRPr="005B439A" w:rsidRDefault="00611210" w:rsidP="00E036A7">
      <w:pPr>
        <w:pStyle w:val="a7"/>
        <w:adjustRightInd w:val="0"/>
        <w:snapToGrid w:val="0"/>
        <w:spacing w:line="320" w:lineRule="exact"/>
        <w:ind w:leftChars="0" w:left="482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委員因故無法完成任期者，得另聘委員兼任之；繼任者任期至原委員任期屆滿之日止。</w:t>
      </w:r>
    </w:p>
    <w:p w:rsidR="002D516D" w:rsidRPr="005B439A" w:rsidRDefault="002D516D" w:rsidP="00EE7AC0">
      <w:pPr>
        <w:numPr>
          <w:ilvl w:val="0"/>
          <w:numId w:val="1"/>
        </w:numPr>
        <w:spacing w:line="320" w:lineRule="exact"/>
        <w:contextualSpacing/>
        <w:jc w:val="both"/>
        <w:rPr>
          <w:rFonts w:ascii="Times New Roman" w:eastAsia="標楷體" w:hAnsi="Times New Roman" w:cs="Times New Roman"/>
          <w:bCs/>
        </w:rPr>
      </w:pPr>
      <w:r w:rsidRPr="005B439A">
        <w:rPr>
          <w:rFonts w:ascii="Times New Roman" w:eastAsia="標楷體" w:hAnsi="Times New Roman" w:cs="Times New Roman"/>
        </w:rPr>
        <w:t>學術倫理審議會之決議，應有全體委</w:t>
      </w:r>
      <w:r w:rsidR="000E5829" w:rsidRPr="005B439A">
        <w:rPr>
          <w:rFonts w:ascii="Times New Roman" w:eastAsia="標楷體" w:hAnsi="Times New Roman" w:cs="Times New Roman"/>
        </w:rPr>
        <w:t>員三分之二以上出席及出席委員三分之二以上同意</w:t>
      </w:r>
      <w:r w:rsidR="00C35103" w:rsidRPr="005B439A">
        <w:rPr>
          <w:rFonts w:ascii="Times New Roman" w:eastAsia="標楷體" w:hAnsi="Times New Roman" w:cs="Times New Roman"/>
        </w:rPr>
        <w:t>。但決議依第十二</w:t>
      </w:r>
      <w:r w:rsidRPr="005B439A">
        <w:rPr>
          <w:rFonts w:ascii="Times New Roman" w:eastAsia="標楷體" w:hAnsi="Times New Roman" w:cs="Times New Roman"/>
        </w:rPr>
        <w:t>點</w:t>
      </w:r>
      <w:r w:rsidR="000E5829" w:rsidRPr="005B439A">
        <w:rPr>
          <w:rFonts w:ascii="Times New Roman" w:eastAsia="標楷體" w:hAnsi="Times New Roman" w:cs="Times New Roman"/>
        </w:rPr>
        <w:t>第二款作成終身停權之處分建議者，應有出席委員四分之三以上同意</w:t>
      </w:r>
      <w:r w:rsidRPr="005B439A">
        <w:rPr>
          <w:rFonts w:ascii="Times New Roman" w:eastAsia="標楷體" w:hAnsi="Times New Roman" w:cs="Times New Roman"/>
        </w:rPr>
        <w:t>。</w:t>
      </w:r>
    </w:p>
    <w:p w:rsidR="00FA1064" w:rsidRPr="005B439A" w:rsidRDefault="00251A60" w:rsidP="00E036A7">
      <w:pPr>
        <w:pStyle w:val="HTML"/>
        <w:shd w:val="clear" w:color="auto" w:fill="FFFFFF"/>
        <w:spacing w:line="320" w:lineRule="exact"/>
        <w:ind w:left="48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學術倫理審議會得邀請第</w:t>
      </w:r>
      <w:r w:rsidR="00B8382F" w:rsidRPr="005B439A">
        <w:rPr>
          <w:rFonts w:ascii="Times New Roman" w:eastAsia="標楷體" w:hAnsi="Times New Roman" w:cs="Times New Roman"/>
        </w:rPr>
        <w:t>九</w:t>
      </w:r>
      <w:r w:rsidR="002D516D" w:rsidRPr="005B439A">
        <w:rPr>
          <w:rFonts w:ascii="Times New Roman" w:eastAsia="標楷體" w:hAnsi="Times New Roman" w:cs="Times New Roman"/>
        </w:rPr>
        <w:t>點第一款初審人員、學者專家或其他相關人員列席說明。</w:t>
      </w:r>
    </w:p>
    <w:p w:rsidR="00F05346" w:rsidRPr="005B439A" w:rsidRDefault="0017221D" w:rsidP="00EE7AC0">
      <w:pPr>
        <w:numPr>
          <w:ilvl w:val="0"/>
          <w:numId w:val="1"/>
        </w:numPr>
        <w:spacing w:line="320" w:lineRule="exact"/>
        <w:contextualSpacing/>
        <w:jc w:val="both"/>
        <w:rPr>
          <w:rFonts w:ascii="Times New Roman" w:eastAsia="標楷體" w:hAnsi="Times New Roman" w:cs="Times New Roman"/>
          <w:bCs/>
        </w:rPr>
      </w:pPr>
      <w:r w:rsidRPr="005B439A">
        <w:rPr>
          <w:rFonts w:ascii="Times New Roman" w:eastAsia="標楷體" w:hAnsi="Times New Roman" w:cs="Times New Roman"/>
        </w:rPr>
        <w:t>檢舉違反學術倫理案件者，應以真實姓名及地址向本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提出附具事證之檢舉書。</w:t>
      </w:r>
    </w:p>
    <w:p w:rsidR="00F05346" w:rsidRPr="005B439A" w:rsidRDefault="00F05346" w:rsidP="00E036A7">
      <w:pPr>
        <w:pStyle w:val="HTML"/>
        <w:shd w:val="clear" w:color="auto" w:fill="FFFFFF"/>
        <w:spacing w:line="320" w:lineRule="exact"/>
        <w:ind w:left="48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前項檢舉案件以匿名方式檢舉者，非有具體對象及充分事證，不予處理。</w:t>
      </w:r>
    </w:p>
    <w:p w:rsidR="00F05346" w:rsidRPr="005B439A" w:rsidRDefault="00F05346" w:rsidP="00EE7AC0">
      <w:pPr>
        <w:pStyle w:val="a7"/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檢舉案件經認定與本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業務無關者，應轉請相關權責機關處理。如當事人</w:t>
      </w:r>
      <w:r w:rsidR="004135DE" w:rsidRPr="005B439A">
        <w:rPr>
          <w:rFonts w:ascii="Times New Roman" w:eastAsia="標楷體" w:hAnsi="Times New Roman" w:cs="Times New Roman"/>
        </w:rPr>
        <w:t>現有申請案件於</w:t>
      </w:r>
      <w:r w:rsidRPr="005B439A">
        <w:rPr>
          <w:rFonts w:ascii="Times New Roman" w:eastAsia="標楷體" w:hAnsi="Times New Roman" w:cs="Times New Roman"/>
        </w:rPr>
        <w:t>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進行審查者，本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得併同檢舉案件為適當之處理。</w:t>
      </w:r>
    </w:p>
    <w:p w:rsidR="00FA1064" w:rsidRPr="005B439A" w:rsidRDefault="00F26E40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違反學術倫理案件經本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依職權發現者，應主動處理之；如認定違反學術倫理者，提送學術倫理審議會進行複審。</w:t>
      </w:r>
    </w:p>
    <w:p w:rsidR="00F26E40" w:rsidRPr="005B439A" w:rsidRDefault="00F26E40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違反學術倫理案件，採初審及複審二階段審查：</w:t>
      </w:r>
    </w:p>
    <w:p w:rsidR="00F26E40" w:rsidRPr="005B439A" w:rsidRDefault="00F26E40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初審：</w:t>
      </w:r>
    </w:p>
    <w:p w:rsidR="00F26E40" w:rsidRPr="005B439A" w:rsidRDefault="00F26E40" w:rsidP="00EE7AC0">
      <w:pPr>
        <w:pStyle w:val="HTML"/>
        <w:numPr>
          <w:ilvl w:val="2"/>
          <w:numId w:val="3"/>
        </w:numPr>
        <w:shd w:val="clear" w:color="auto" w:fill="FFFFFF"/>
        <w:spacing w:after="150" w:line="320" w:lineRule="exact"/>
        <w:ind w:left="1185" w:hanging="227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由本</w:t>
      </w:r>
      <w:r w:rsidR="007F7B49" w:rsidRPr="005B439A">
        <w:rPr>
          <w:rFonts w:ascii="Times New Roman" w:eastAsia="標楷體" w:hAnsi="Times New Roman" w:cs="Times New Roman"/>
        </w:rPr>
        <w:t>署企劃及科技管理</w:t>
      </w:r>
      <w:r w:rsidRPr="005B439A">
        <w:rPr>
          <w:rFonts w:ascii="Times New Roman" w:eastAsia="標楷體" w:hAnsi="Times New Roman" w:cs="Times New Roman"/>
        </w:rPr>
        <w:t>組受理，並評估主責業管單位後，交由該單位進行審查；必要時，得邀集學者專家參與審查。如認有涉及違反學術倫理之虞時，並應通知當事人於一定期限內提出書面答辯。</w:t>
      </w:r>
    </w:p>
    <w:p w:rsidR="00F26E40" w:rsidRPr="005B439A" w:rsidRDefault="00F26E40" w:rsidP="00EE7AC0">
      <w:pPr>
        <w:pStyle w:val="HTML"/>
        <w:numPr>
          <w:ilvl w:val="2"/>
          <w:numId w:val="3"/>
        </w:numPr>
        <w:shd w:val="clear" w:color="auto" w:fill="FFFFFF"/>
        <w:spacing w:after="150" w:line="320" w:lineRule="exact"/>
        <w:ind w:left="1185" w:hanging="227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lastRenderedPageBreak/>
        <w:t>初審結果認定涉嫌違反學術倫理而須提交學術倫理審議會者，審查結果須詳列事證、審查方式、違反學術倫理類型、具體處分建議等。</w:t>
      </w:r>
    </w:p>
    <w:p w:rsidR="00F26E40" w:rsidRPr="005B439A" w:rsidRDefault="00F26E40" w:rsidP="00EE7AC0">
      <w:pPr>
        <w:pStyle w:val="HTML"/>
        <w:numPr>
          <w:ilvl w:val="2"/>
          <w:numId w:val="3"/>
        </w:numPr>
        <w:shd w:val="clear" w:color="auto" w:fill="FFFFFF"/>
        <w:spacing w:after="150" w:line="320" w:lineRule="exact"/>
        <w:ind w:left="1185" w:hanging="227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初審結果認定未涉及違反學術倫理者，無須提交學術倫理審議會複審，應視情形為適當之處理。</w:t>
      </w:r>
    </w:p>
    <w:p w:rsidR="00FA1064" w:rsidRPr="005B439A" w:rsidRDefault="000B646E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複審：初審結果認定</w:t>
      </w:r>
      <w:r w:rsidR="00D51440" w:rsidRPr="005B439A">
        <w:rPr>
          <w:rFonts w:ascii="Times New Roman" w:eastAsia="標楷體" w:hAnsi="Times New Roman" w:cs="Times New Roman"/>
        </w:rPr>
        <w:t>涉嫌</w:t>
      </w:r>
      <w:r w:rsidRPr="005B439A">
        <w:rPr>
          <w:rFonts w:ascii="Times New Roman" w:eastAsia="標楷體" w:hAnsi="Times New Roman" w:cs="Times New Roman"/>
        </w:rPr>
        <w:t>違反學術倫理者，提送</w:t>
      </w:r>
      <w:r w:rsidR="00F26E40" w:rsidRPr="005B439A">
        <w:rPr>
          <w:rFonts w:ascii="Times New Roman" w:eastAsia="標楷體" w:hAnsi="Times New Roman" w:cs="Times New Roman"/>
        </w:rPr>
        <w:t>學術倫理審議會審議。</w:t>
      </w:r>
    </w:p>
    <w:p w:rsidR="00FA1064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spacing w:after="150"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違反學術倫理案件之審查期限如下：</w:t>
      </w:r>
    </w:p>
    <w:p w:rsidR="001C1EDD" w:rsidRPr="005B439A" w:rsidRDefault="00FA1064" w:rsidP="00E036A7">
      <w:pPr>
        <w:pStyle w:val="HTML"/>
        <w:numPr>
          <w:ilvl w:val="1"/>
          <w:numId w:val="1"/>
        </w:numPr>
        <w:shd w:val="clear" w:color="auto" w:fill="FFFFFF"/>
        <w:spacing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初審：應於收件之次日起三個月內完成。</w:t>
      </w:r>
    </w:p>
    <w:p w:rsidR="001C1EDD" w:rsidRPr="005B439A" w:rsidRDefault="00FA1064" w:rsidP="00E036A7">
      <w:pPr>
        <w:pStyle w:val="a7"/>
        <w:widowControl/>
        <w:numPr>
          <w:ilvl w:val="1"/>
          <w:numId w:val="1"/>
        </w:numPr>
        <w:spacing w:line="320" w:lineRule="exact"/>
        <w:ind w:leftChars="0"/>
        <w:contextualSpacing/>
        <w:jc w:val="both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5B439A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複審：應於初審完成後二個月內完成。</w:t>
      </w:r>
    </w:p>
    <w:p w:rsidR="00471BF4" w:rsidRPr="005B439A" w:rsidRDefault="00F05346" w:rsidP="00EE7AC0">
      <w:pPr>
        <w:widowControl/>
        <w:spacing w:line="320" w:lineRule="exact"/>
        <w:ind w:left="480"/>
        <w:contextualSpacing/>
        <w:jc w:val="both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  <w:r w:rsidRPr="005B439A">
        <w:rPr>
          <w:rFonts w:ascii="Times New Roman" w:eastAsia="標楷體" w:hAnsi="Times New Roman" w:cs="Times New Roman"/>
          <w:kern w:val="0"/>
          <w:szCs w:val="24"/>
        </w:rPr>
        <w:t>前項</w:t>
      </w:r>
      <w:r w:rsidR="00D74C43" w:rsidRPr="005B439A">
        <w:rPr>
          <w:rFonts w:ascii="Times New Roman" w:eastAsia="標楷體" w:hAnsi="Times New Roman" w:cs="Times New Roman"/>
          <w:kern w:val="0"/>
          <w:szCs w:val="24"/>
        </w:rPr>
        <w:t>處理期限，必要時，得</w:t>
      </w:r>
      <w:r w:rsidR="00471BF4" w:rsidRPr="005B439A">
        <w:rPr>
          <w:rFonts w:ascii="Times New Roman" w:eastAsia="標楷體" w:hAnsi="Times New Roman" w:cs="Times New Roman"/>
          <w:kern w:val="0"/>
          <w:szCs w:val="24"/>
        </w:rPr>
        <w:t>延長</w:t>
      </w:r>
      <w:r w:rsidR="00D74C43" w:rsidRPr="005B439A">
        <w:rPr>
          <w:rFonts w:ascii="Times New Roman" w:eastAsia="標楷體" w:hAnsi="Times New Roman" w:cs="Times New Roman"/>
          <w:kern w:val="0"/>
          <w:szCs w:val="24"/>
        </w:rPr>
        <w:t>之</w:t>
      </w:r>
      <w:r w:rsidR="00471BF4" w:rsidRPr="005B439A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E60F27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檢舉案件無確切證據足資認定當事人違反學術倫理時，應將</w:t>
      </w:r>
      <w:r w:rsidR="0038145C" w:rsidRPr="005B439A">
        <w:rPr>
          <w:rFonts w:ascii="Times New Roman" w:eastAsia="標楷體" w:hAnsi="Times New Roman" w:cs="Times New Roman"/>
        </w:rPr>
        <w:t>調查結果以書面通知檢舉人，並得視情形分別通知當事人及其所屬</w:t>
      </w:r>
      <w:r w:rsidRPr="005B439A">
        <w:rPr>
          <w:rFonts w:ascii="Times New Roman" w:eastAsia="標楷體" w:hAnsi="Times New Roman" w:cs="Times New Roman"/>
        </w:rPr>
        <w:t>機關（構</w:t>
      </w:r>
      <w:r w:rsidR="00625630" w:rsidRPr="005B439A">
        <w:rPr>
          <w:rFonts w:ascii="Times New Roman" w:eastAsia="標楷體" w:hAnsi="Times New Roman" w:cs="Times New Roman"/>
        </w:rPr>
        <w:t>）</w:t>
      </w:r>
      <w:r w:rsidRPr="005B439A">
        <w:rPr>
          <w:rFonts w:ascii="Times New Roman" w:eastAsia="標楷體" w:hAnsi="Times New Roman" w:cs="Times New Roman"/>
        </w:rPr>
        <w:t>。</w:t>
      </w:r>
    </w:p>
    <w:p w:rsidR="00FA1064" w:rsidRPr="005B439A" w:rsidRDefault="00D74C43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學術倫理審議會就初審結果認定有違反學術倫理之案件時，得按其情節輕重對當事人作成下列一款或數款之處分</w:t>
      </w:r>
      <w:r w:rsidR="0083218E" w:rsidRPr="005B439A">
        <w:rPr>
          <w:rFonts w:ascii="Times New Roman" w:eastAsia="標楷體" w:hAnsi="Times New Roman" w:cs="Times New Roman"/>
        </w:rPr>
        <w:t>或處置</w:t>
      </w:r>
      <w:r w:rsidRPr="005B439A">
        <w:rPr>
          <w:rFonts w:ascii="Times New Roman" w:eastAsia="標楷體" w:hAnsi="Times New Roman" w:cs="Times New Roman"/>
        </w:rPr>
        <w:t>建議</w:t>
      </w:r>
      <w:r w:rsidR="00C54864" w:rsidRPr="005B439A">
        <w:rPr>
          <w:rFonts w:ascii="Times New Roman" w:eastAsia="標楷體" w:hAnsi="Times New Roman" w:cs="Times New Roman"/>
        </w:rPr>
        <w:t>，但依政府採購法辦理之委託計畫，其處分或處置應優先適用政府採購法之規定</w:t>
      </w:r>
      <w:r w:rsidRPr="005B439A">
        <w:rPr>
          <w:rFonts w:ascii="Times New Roman" w:eastAsia="標楷體" w:hAnsi="Times New Roman" w:cs="Times New Roman"/>
        </w:rPr>
        <w:t>：</w:t>
      </w:r>
    </w:p>
    <w:p w:rsidR="00FA1064" w:rsidRPr="005B439A" w:rsidRDefault="00FA1064" w:rsidP="004A66A0">
      <w:pPr>
        <w:pStyle w:val="HTML"/>
        <w:numPr>
          <w:ilvl w:val="1"/>
          <w:numId w:val="1"/>
        </w:numPr>
        <w:shd w:val="clear" w:color="auto" w:fill="FFFFFF"/>
        <w:spacing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書面告誡。</w:t>
      </w:r>
    </w:p>
    <w:p w:rsidR="00FA1064" w:rsidRPr="005B439A" w:rsidRDefault="00FA1064" w:rsidP="004A66A0">
      <w:pPr>
        <w:pStyle w:val="HTML"/>
        <w:numPr>
          <w:ilvl w:val="1"/>
          <w:numId w:val="1"/>
        </w:numPr>
        <w:shd w:val="clear" w:color="auto" w:fill="FFFFFF"/>
        <w:spacing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停止申請及執行</w:t>
      </w:r>
      <w:r w:rsidR="0038145C" w:rsidRPr="005B439A">
        <w:rPr>
          <w:rFonts w:ascii="Times New Roman" w:eastAsia="標楷體" w:hAnsi="Times New Roman" w:cs="Times New Roman"/>
        </w:rPr>
        <w:t>補</w:t>
      </w:r>
      <w:r w:rsidR="00625630" w:rsidRPr="005B439A">
        <w:rPr>
          <w:rFonts w:ascii="Times New Roman" w:eastAsia="標楷體" w:hAnsi="Times New Roman" w:cs="Times New Roman"/>
        </w:rPr>
        <w:t>（</w:t>
      </w:r>
      <w:r w:rsidR="0038145C" w:rsidRPr="005B439A">
        <w:rPr>
          <w:rFonts w:ascii="Times New Roman" w:eastAsia="標楷體" w:hAnsi="Times New Roman" w:cs="Times New Roman"/>
        </w:rPr>
        <w:t>捐</w:t>
      </w:r>
      <w:r w:rsidR="00625630" w:rsidRPr="005B439A">
        <w:rPr>
          <w:rFonts w:ascii="Times New Roman" w:eastAsia="標楷體" w:hAnsi="Times New Roman" w:cs="Times New Roman"/>
        </w:rPr>
        <w:t>）</w:t>
      </w:r>
      <w:r w:rsidR="0038145C" w:rsidRPr="005B439A">
        <w:rPr>
          <w:rFonts w:ascii="Times New Roman" w:eastAsia="標楷體" w:hAnsi="Times New Roman" w:cs="Times New Roman"/>
        </w:rPr>
        <w:t>助、委託</w:t>
      </w:r>
      <w:r w:rsidR="00B72769" w:rsidRPr="005B439A">
        <w:rPr>
          <w:rFonts w:ascii="Times New Roman" w:eastAsia="標楷體" w:hAnsi="Times New Roman" w:cs="Times New Roman"/>
        </w:rPr>
        <w:t>計畫</w:t>
      </w:r>
      <w:r w:rsidR="0038145C" w:rsidRPr="005B439A">
        <w:rPr>
          <w:rFonts w:ascii="Times New Roman" w:eastAsia="標楷體" w:hAnsi="Times New Roman" w:cs="Times New Roman"/>
        </w:rPr>
        <w:t>，或其他相關獎補助</w:t>
      </w:r>
      <w:r w:rsidRPr="005B439A">
        <w:rPr>
          <w:rFonts w:ascii="Times New Roman" w:eastAsia="標楷體" w:hAnsi="Times New Roman" w:cs="Times New Roman"/>
        </w:rPr>
        <w:t>計畫、申請及領取獎勵（費）一年至十年，或終身停權。</w:t>
      </w:r>
    </w:p>
    <w:p w:rsidR="00D51440" w:rsidRPr="005B439A" w:rsidRDefault="00D51440" w:rsidP="004A66A0">
      <w:pPr>
        <w:pStyle w:val="HTML"/>
        <w:numPr>
          <w:ilvl w:val="1"/>
          <w:numId w:val="1"/>
        </w:numPr>
        <w:shd w:val="clear" w:color="auto" w:fill="FFFFFF"/>
        <w:spacing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撤銷</w:t>
      </w:r>
      <w:r w:rsidR="00AF53E6" w:rsidRPr="005B439A">
        <w:rPr>
          <w:rFonts w:ascii="Times New Roman" w:eastAsia="標楷體" w:hAnsi="Times New Roman" w:cs="Times New Roman"/>
        </w:rPr>
        <w:t>、</w:t>
      </w:r>
      <w:r w:rsidRPr="005B439A">
        <w:rPr>
          <w:rFonts w:ascii="Times New Roman" w:eastAsia="標楷體" w:hAnsi="Times New Roman" w:cs="Times New Roman"/>
        </w:rPr>
        <w:t>廢止</w:t>
      </w:r>
      <w:r w:rsidR="00C54864" w:rsidRPr="005B439A">
        <w:rPr>
          <w:rFonts w:ascii="Times New Roman" w:eastAsia="標楷體" w:hAnsi="Times New Roman" w:cs="Times New Roman"/>
        </w:rPr>
        <w:t>、</w:t>
      </w:r>
      <w:r w:rsidR="00AF53E6" w:rsidRPr="005B439A">
        <w:rPr>
          <w:rFonts w:ascii="Times New Roman" w:eastAsia="標楷體" w:hAnsi="Times New Roman" w:cs="Times New Roman"/>
        </w:rPr>
        <w:t>解除</w:t>
      </w:r>
      <w:r w:rsidR="00C54864" w:rsidRPr="005B439A">
        <w:rPr>
          <w:rFonts w:ascii="Times New Roman" w:eastAsia="標楷體" w:hAnsi="Times New Roman" w:cs="Times New Roman"/>
        </w:rPr>
        <w:t>或終止</w:t>
      </w:r>
      <w:r w:rsidRPr="005B439A">
        <w:rPr>
          <w:rFonts w:ascii="Times New Roman" w:eastAsia="標楷體" w:hAnsi="Times New Roman" w:cs="Times New Roman"/>
        </w:rPr>
        <w:t>補（捐）助、委託</w:t>
      </w:r>
      <w:r w:rsidR="00B72769" w:rsidRPr="005B439A">
        <w:rPr>
          <w:rFonts w:ascii="Times New Roman" w:eastAsia="標楷體" w:hAnsi="Times New Roman" w:cs="Times New Roman"/>
        </w:rPr>
        <w:t>計畫</w:t>
      </w:r>
      <w:r w:rsidRPr="005B439A">
        <w:rPr>
          <w:rFonts w:ascii="Times New Roman" w:eastAsia="標楷體" w:hAnsi="Times New Roman" w:cs="Times New Roman"/>
        </w:rPr>
        <w:t>，或其他相關獎補助之費用、獎勵（費）、獎金或獎勵金之核定</w:t>
      </w:r>
      <w:r w:rsidR="00AF53E6" w:rsidRPr="005B439A">
        <w:rPr>
          <w:rFonts w:ascii="Times New Roman" w:eastAsia="標楷體" w:hAnsi="Times New Roman" w:cs="Times New Roman"/>
        </w:rPr>
        <w:t>或契約</w:t>
      </w:r>
      <w:r w:rsidRPr="005B439A">
        <w:rPr>
          <w:rFonts w:ascii="Times New Roman" w:eastAsia="標楷體" w:hAnsi="Times New Roman" w:cs="Times New Roman"/>
        </w:rPr>
        <w:t>。</w:t>
      </w:r>
    </w:p>
    <w:p w:rsidR="00FA1064" w:rsidRPr="005B439A" w:rsidRDefault="00FA1064" w:rsidP="004A66A0">
      <w:pPr>
        <w:pStyle w:val="HTML"/>
        <w:numPr>
          <w:ilvl w:val="1"/>
          <w:numId w:val="1"/>
        </w:numPr>
        <w:shd w:val="clear" w:color="auto" w:fill="FFFFFF"/>
        <w:spacing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追回部分或全部</w:t>
      </w:r>
      <w:r w:rsidR="0038145C" w:rsidRPr="005B439A">
        <w:rPr>
          <w:rFonts w:ascii="Times New Roman" w:eastAsia="標楷體" w:hAnsi="Times New Roman" w:cs="Times New Roman"/>
        </w:rPr>
        <w:t>補</w:t>
      </w:r>
      <w:r w:rsidR="00625630" w:rsidRPr="005B439A">
        <w:rPr>
          <w:rFonts w:ascii="Times New Roman" w:eastAsia="標楷體" w:hAnsi="Times New Roman" w:cs="Times New Roman"/>
        </w:rPr>
        <w:t>（</w:t>
      </w:r>
      <w:r w:rsidR="0038145C" w:rsidRPr="005B439A">
        <w:rPr>
          <w:rFonts w:ascii="Times New Roman" w:eastAsia="標楷體" w:hAnsi="Times New Roman" w:cs="Times New Roman"/>
        </w:rPr>
        <w:t>捐</w:t>
      </w:r>
      <w:r w:rsidR="00625630" w:rsidRPr="005B439A">
        <w:rPr>
          <w:rFonts w:ascii="Times New Roman" w:eastAsia="標楷體" w:hAnsi="Times New Roman" w:cs="Times New Roman"/>
        </w:rPr>
        <w:t>）</w:t>
      </w:r>
      <w:r w:rsidR="0038145C" w:rsidRPr="005B439A">
        <w:rPr>
          <w:rFonts w:ascii="Times New Roman" w:eastAsia="標楷體" w:hAnsi="Times New Roman" w:cs="Times New Roman"/>
        </w:rPr>
        <w:t>助、委託</w:t>
      </w:r>
      <w:r w:rsidR="00B72769" w:rsidRPr="005B439A">
        <w:rPr>
          <w:rFonts w:ascii="Times New Roman" w:eastAsia="標楷體" w:hAnsi="Times New Roman" w:cs="Times New Roman"/>
        </w:rPr>
        <w:t>計畫</w:t>
      </w:r>
      <w:r w:rsidR="0038145C" w:rsidRPr="005B439A">
        <w:rPr>
          <w:rFonts w:ascii="Times New Roman" w:eastAsia="標楷體" w:hAnsi="Times New Roman" w:cs="Times New Roman"/>
        </w:rPr>
        <w:t>，或其他相關獎補助之</w:t>
      </w:r>
      <w:r w:rsidRPr="005B439A">
        <w:rPr>
          <w:rFonts w:ascii="Times New Roman" w:eastAsia="標楷體" w:hAnsi="Times New Roman" w:cs="Times New Roman"/>
        </w:rPr>
        <w:t>費用、獎勵（費）、獎金或獎勵金。</w:t>
      </w:r>
    </w:p>
    <w:p w:rsidR="00FA1064" w:rsidRPr="005B439A" w:rsidRDefault="00FA1064" w:rsidP="004A66A0">
      <w:pPr>
        <w:pStyle w:val="HTML"/>
        <w:numPr>
          <w:ilvl w:val="1"/>
          <w:numId w:val="1"/>
        </w:numPr>
        <w:shd w:val="clear" w:color="auto" w:fill="FFFFFF"/>
        <w:spacing w:line="320" w:lineRule="exact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撤銷所獲相關獎項。</w:t>
      </w:r>
    </w:p>
    <w:p w:rsidR="00FA1064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學術倫理案件經學術倫理審議會審議作成處分</w:t>
      </w:r>
      <w:r w:rsidR="0083218E" w:rsidRPr="005B439A">
        <w:rPr>
          <w:rFonts w:ascii="Times New Roman" w:eastAsia="標楷體" w:hAnsi="Times New Roman" w:cs="Times New Roman"/>
        </w:rPr>
        <w:t>或處置</w:t>
      </w:r>
      <w:r w:rsidRPr="005B439A">
        <w:rPr>
          <w:rFonts w:ascii="Times New Roman" w:eastAsia="標楷體" w:hAnsi="Times New Roman" w:cs="Times New Roman"/>
        </w:rPr>
        <w:t>建議者，經</w:t>
      </w:r>
      <w:r w:rsidR="006D7E26" w:rsidRPr="005B439A">
        <w:rPr>
          <w:rFonts w:ascii="Times New Roman" w:eastAsia="標楷體" w:hAnsi="Times New Roman" w:cs="Times New Roman"/>
        </w:rPr>
        <w:t>學術倫理審議會</w:t>
      </w:r>
      <w:r w:rsidRPr="005B439A">
        <w:rPr>
          <w:rFonts w:ascii="Times New Roman" w:eastAsia="標楷體" w:hAnsi="Times New Roman" w:cs="Times New Roman"/>
        </w:rPr>
        <w:t>視情節輕重決議後</w:t>
      </w:r>
      <w:r w:rsidR="00B72769" w:rsidRPr="005B439A">
        <w:rPr>
          <w:rFonts w:ascii="Times New Roman" w:eastAsia="標楷體" w:hAnsi="Times New Roman" w:cs="Times New Roman"/>
        </w:rPr>
        <w:t>，得</w:t>
      </w:r>
      <w:r w:rsidRPr="005B439A">
        <w:rPr>
          <w:rFonts w:ascii="Times New Roman" w:eastAsia="標楷體" w:hAnsi="Times New Roman" w:cs="Times New Roman"/>
        </w:rPr>
        <w:t>公開相關資訊。</w:t>
      </w:r>
    </w:p>
    <w:p w:rsidR="00FA1064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違反學術倫理案件之處分</w:t>
      </w:r>
      <w:r w:rsidR="0083218E" w:rsidRPr="005B439A">
        <w:rPr>
          <w:rFonts w:ascii="Times New Roman" w:eastAsia="標楷體" w:hAnsi="Times New Roman" w:cs="Times New Roman"/>
        </w:rPr>
        <w:t>或處置，應以書面通知檢舉人、受處分或處置之相對人</w:t>
      </w:r>
      <w:r w:rsidRPr="005B439A">
        <w:rPr>
          <w:rFonts w:ascii="Times New Roman" w:eastAsia="標楷體" w:hAnsi="Times New Roman" w:cs="Times New Roman"/>
        </w:rPr>
        <w:t>及其所屬機關（構），並要求該</w:t>
      </w:r>
      <w:r w:rsidR="0083218E" w:rsidRPr="005B439A">
        <w:rPr>
          <w:rFonts w:ascii="Times New Roman" w:eastAsia="標楷體" w:hAnsi="Times New Roman" w:cs="Times New Roman"/>
        </w:rPr>
        <w:t>相對</w:t>
      </w:r>
      <w:r w:rsidRPr="005B439A">
        <w:rPr>
          <w:rFonts w:ascii="Times New Roman" w:eastAsia="標楷體" w:hAnsi="Times New Roman" w:cs="Times New Roman"/>
        </w:rPr>
        <w:t>人所屬機關</w:t>
      </w:r>
      <w:r w:rsidR="00625630" w:rsidRPr="005B439A">
        <w:rPr>
          <w:rFonts w:ascii="Times New Roman" w:eastAsia="標楷體" w:hAnsi="Times New Roman" w:cs="Times New Roman"/>
        </w:rPr>
        <w:t>（</w:t>
      </w:r>
      <w:r w:rsidRPr="005B439A">
        <w:rPr>
          <w:rFonts w:ascii="Times New Roman" w:eastAsia="標楷體" w:hAnsi="Times New Roman" w:cs="Times New Roman"/>
        </w:rPr>
        <w:t>構）提出說明及檢討改進，並就受處分人違反學術倫理行為之處理情形副知</w:t>
      </w:r>
      <w:r w:rsidR="006D7E26" w:rsidRPr="005B439A">
        <w:rPr>
          <w:rFonts w:ascii="Times New Roman" w:eastAsia="標楷體" w:hAnsi="Times New Roman" w:cs="Times New Roman"/>
        </w:rPr>
        <w:t>學術倫理審議會</w:t>
      </w:r>
      <w:r w:rsidRPr="005B439A">
        <w:rPr>
          <w:rFonts w:ascii="Times New Roman" w:eastAsia="標楷體" w:hAnsi="Times New Roman" w:cs="Times New Roman"/>
        </w:rPr>
        <w:t>。</w:t>
      </w:r>
    </w:p>
    <w:p w:rsidR="0098202D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依本要點受理檢舉、參與調查或審議程序之人員，就所接觸資訊有予以保密之必要者，應予保密。</w:t>
      </w:r>
    </w:p>
    <w:p w:rsidR="00E60F27" w:rsidRPr="005B439A" w:rsidRDefault="00DD2357" w:rsidP="00EE7AC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本</w:t>
      </w:r>
      <w:r w:rsidR="00625630" w:rsidRPr="005B439A">
        <w:rPr>
          <w:rFonts w:ascii="Times New Roman" w:eastAsia="標楷體" w:hAnsi="Times New Roman" w:cs="Times New Roman"/>
        </w:rPr>
        <w:t>署</w:t>
      </w:r>
      <w:r w:rsidR="00FA1064" w:rsidRPr="005B439A">
        <w:rPr>
          <w:rFonts w:ascii="Times New Roman" w:eastAsia="標楷體" w:hAnsi="Times New Roman" w:cs="Times New Roman"/>
        </w:rPr>
        <w:t>進行審議程序時，就檢舉人之真實姓名、地址或其他足資辨識其身分之資料，應採取必要之保密措施。</w:t>
      </w:r>
    </w:p>
    <w:p w:rsidR="00FA1064" w:rsidRPr="005B439A" w:rsidRDefault="00FA1064" w:rsidP="00EE7AC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學術倫理案件如涉公共利益，本</w:t>
      </w:r>
      <w:r w:rsidR="00625630" w:rsidRPr="005B439A">
        <w:rPr>
          <w:rFonts w:ascii="Times New Roman" w:eastAsia="標楷體" w:hAnsi="Times New Roman" w:cs="Times New Roman"/>
        </w:rPr>
        <w:t>署</w:t>
      </w:r>
      <w:r w:rsidRPr="005B439A">
        <w:rPr>
          <w:rFonts w:ascii="Times New Roman" w:eastAsia="標楷體" w:hAnsi="Times New Roman" w:cs="Times New Roman"/>
        </w:rPr>
        <w:t>得適切對外說明，不受第一項規定限制。</w:t>
      </w:r>
    </w:p>
    <w:p w:rsidR="00FA1064" w:rsidRPr="005B439A" w:rsidRDefault="00FA1064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學術倫理審議會委員及初審人員與當事人間有下列情形之一者，應自行迴避。但</w:t>
      </w:r>
      <w:r w:rsidR="00EE7AC0" w:rsidRPr="005B439A">
        <w:rPr>
          <w:rFonts w:ascii="Times New Roman" w:eastAsia="標楷體" w:hAnsi="Times New Roman" w:cs="Times New Roman"/>
        </w:rPr>
        <w:t>有第二款至第五款之</w:t>
      </w:r>
      <w:r w:rsidRPr="005B439A">
        <w:rPr>
          <w:rFonts w:ascii="Times New Roman" w:eastAsia="標楷體" w:hAnsi="Times New Roman" w:cs="Times New Roman"/>
        </w:rPr>
        <w:t>情形</w:t>
      </w:r>
      <w:r w:rsidR="00EE7AC0" w:rsidRPr="005B439A">
        <w:rPr>
          <w:rFonts w:ascii="Times New Roman" w:eastAsia="標楷體" w:hAnsi="Times New Roman" w:cs="Times New Roman"/>
        </w:rPr>
        <w:t>經本</w:t>
      </w:r>
      <w:r w:rsidR="00625630" w:rsidRPr="005B439A">
        <w:rPr>
          <w:rFonts w:ascii="Times New Roman" w:eastAsia="標楷體" w:hAnsi="Times New Roman" w:cs="Times New Roman"/>
        </w:rPr>
        <w:t>署</w:t>
      </w:r>
      <w:r w:rsidR="006E53F1" w:rsidRPr="005B439A">
        <w:rPr>
          <w:rFonts w:ascii="Times New Roman" w:eastAsia="標楷體" w:hAnsi="Times New Roman" w:cs="Times New Roman"/>
        </w:rPr>
        <w:t>核可者</w:t>
      </w:r>
      <w:r w:rsidRPr="005B439A">
        <w:rPr>
          <w:rFonts w:ascii="Times New Roman" w:eastAsia="標楷體" w:hAnsi="Times New Roman" w:cs="Times New Roman"/>
        </w:rPr>
        <w:t>，不在此限：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ind w:left="156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行政程序法第三十二條所定情形之一。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ind w:left="156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任職同一系、所、科或單位。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ind w:left="156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近三年曾有指導博士、碩士論文之師生關係。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ind w:left="156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近二年發表論文或研究成果之共同作者。</w:t>
      </w:r>
    </w:p>
    <w:p w:rsidR="00FA1064" w:rsidRPr="005B439A" w:rsidRDefault="00FA1064" w:rsidP="00EE7AC0">
      <w:pPr>
        <w:pStyle w:val="HTML"/>
        <w:numPr>
          <w:ilvl w:val="1"/>
          <w:numId w:val="1"/>
        </w:numPr>
        <w:shd w:val="clear" w:color="auto" w:fill="FFFFFF"/>
        <w:spacing w:after="150" w:line="320" w:lineRule="exact"/>
        <w:ind w:left="1560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審查案件時有共同執行研究計畫。</w:t>
      </w:r>
    </w:p>
    <w:p w:rsidR="00F26E40" w:rsidRPr="005B439A" w:rsidRDefault="00F26E40" w:rsidP="00EE7AC0">
      <w:pPr>
        <w:pStyle w:val="HTML"/>
        <w:shd w:val="clear" w:color="auto" w:fill="FFFFFF"/>
        <w:spacing w:after="150" w:line="320" w:lineRule="exact"/>
        <w:ind w:left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委員</w:t>
      </w:r>
      <w:r w:rsidR="008324CB" w:rsidRPr="005B439A">
        <w:rPr>
          <w:rFonts w:ascii="Times New Roman" w:eastAsia="標楷體" w:hAnsi="Times New Roman" w:cs="Times New Roman"/>
        </w:rPr>
        <w:t>及初審人員</w:t>
      </w:r>
      <w:r w:rsidRPr="005B439A">
        <w:rPr>
          <w:rFonts w:ascii="Times New Roman" w:eastAsia="標楷體" w:hAnsi="Times New Roman" w:cs="Times New Roman"/>
        </w:rPr>
        <w:t>對其有利害關係之案件，應自行迴避。</w:t>
      </w:r>
    </w:p>
    <w:p w:rsidR="002D516D" w:rsidRPr="005B439A" w:rsidRDefault="00EB3223" w:rsidP="00EE7AC0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 w:hanging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lastRenderedPageBreak/>
        <w:t>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="002D516D" w:rsidRPr="005B439A">
        <w:rPr>
          <w:rFonts w:ascii="Times New Roman" w:eastAsia="標楷體" w:hAnsi="Times New Roman" w:cs="Times New Roman"/>
        </w:rPr>
        <w:t>於處理違反學術倫理案件時，除直接調查</w:t>
      </w:r>
      <w:r w:rsidR="0083218E" w:rsidRPr="005B439A">
        <w:rPr>
          <w:rFonts w:ascii="Times New Roman" w:eastAsia="標楷體" w:hAnsi="Times New Roman" w:cs="Times New Roman"/>
        </w:rPr>
        <w:t>、</w:t>
      </w:r>
      <w:r w:rsidR="002D516D" w:rsidRPr="005B439A">
        <w:rPr>
          <w:rFonts w:ascii="Times New Roman" w:eastAsia="標楷體" w:hAnsi="Times New Roman" w:cs="Times New Roman"/>
        </w:rPr>
        <w:t>處分</w:t>
      </w:r>
      <w:r w:rsidR="0083218E" w:rsidRPr="005B439A">
        <w:rPr>
          <w:rFonts w:ascii="Times New Roman" w:eastAsia="標楷體" w:hAnsi="Times New Roman" w:cs="Times New Roman"/>
        </w:rPr>
        <w:t>或處置</w:t>
      </w:r>
      <w:r w:rsidR="002D516D" w:rsidRPr="005B439A">
        <w:rPr>
          <w:rFonts w:ascii="Times New Roman" w:eastAsia="標楷體" w:hAnsi="Times New Roman" w:cs="Times New Roman"/>
        </w:rPr>
        <w:t>外，得視需要請當事人所屬機關</w:t>
      </w:r>
      <w:r w:rsidR="00625630" w:rsidRPr="005B439A">
        <w:rPr>
          <w:rFonts w:ascii="Times New Roman" w:eastAsia="標楷體" w:hAnsi="Times New Roman" w:cs="Times New Roman"/>
        </w:rPr>
        <w:t>（</w:t>
      </w:r>
      <w:r w:rsidR="002D516D" w:rsidRPr="005B439A">
        <w:rPr>
          <w:rFonts w:ascii="Times New Roman" w:eastAsia="標楷體" w:hAnsi="Times New Roman" w:cs="Times New Roman"/>
        </w:rPr>
        <w:t>構）協助調查。</w:t>
      </w:r>
    </w:p>
    <w:p w:rsidR="00EB3223" w:rsidRPr="005B439A" w:rsidRDefault="00E36213" w:rsidP="00EE7AC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前項</w:t>
      </w:r>
      <w:r w:rsidR="00EB3223" w:rsidRPr="005B439A">
        <w:rPr>
          <w:rFonts w:ascii="Times New Roman" w:eastAsia="標楷體" w:hAnsi="Times New Roman" w:cs="Times New Roman"/>
        </w:rPr>
        <w:t>所屬機關（構）應將調查結果送交本</w:t>
      </w:r>
      <w:r w:rsidR="00625630" w:rsidRPr="005B439A">
        <w:rPr>
          <w:rFonts w:ascii="Times New Roman" w:eastAsia="標楷體" w:hAnsi="Times New Roman" w:cs="Times New Roman"/>
        </w:rPr>
        <w:t>署</w:t>
      </w:r>
      <w:r w:rsidR="00EB3223" w:rsidRPr="005B439A">
        <w:rPr>
          <w:rFonts w:ascii="Times New Roman" w:eastAsia="標楷體" w:hAnsi="Times New Roman" w:cs="Times New Roman"/>
        </w:rPr>
        <w:t>。</w:t>
      </w:r>
    </w:p>
    <w:p w:rsidR="00BB30BD" w:rsidRPr="00D0336E" w:rsidRDefault="00152B23" w:rsidP="00EE7AC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320" w:lineRule="exact"/>
        <w:ind w:left="851"/>
        <w:contextualSpacing/>
        <w:jc w:val="both"/>
        <w:rPr>
          <w:rFonts w:ascii="Times New Roman" w:eastAsia="標楷體" w:hAnsi="Times New Roman" w:cs="Times New Roman"/>
        </w:rPr>
      </w:pPr>
      <w:r w:rsidRPr="005B439A">
        <w:rPr>
          <w:rFonts w:ascii="Times New Roman" w:eastAsia="標楷體" w:hAnsi="Times New Roman" w:cs="Times New Roman"/>
        </w:rPr>
        <w:t>當事人所屬機關（構）對於違反學術倫理案件未積極配合調查、有重大管理疏失或其他不當之處理行為，經學術倫理審議會建議</w:t>
      </w:r>
      <w:r w:rsidR="002D516D" w:rsidRPr="005B439A">
        <w:rPr>
          <w:rFonts w:ascii="Times New Roman" w:eastAsia="標楷體" w:hAnsi="Times New Roman" w:cs="Times New Roman"/>
        </w:rPr>
        <w:t>，得追回或減撥本</w:t>
      </w:r>
      <w:r w:rsidR="007F7B49" w:rsidRPr="005B439A">
        <w:rPr>
          <w:rFonts w:ascii="Times New Roman" w:eastAsia="標楷體" w:hAnsi="Times New Roman" w:cs="Times New Roman"/>
        </w:rPr>
        <w:t>署</w:t>
      </w:r>
      <w:r w:rsidR="002D516D" w:rsidRPr="005B439A">
        <w:rPr>
          <w:rFonts w:ascii="Times New Roman" w:eastAsia="標楷體" w:hAnsi="Times New Roman" w:cs="Times New Roman"/>
        </w:rPr>
        <w:t>一定期間之補</w:t>
      </w:r>
      <w:r w:rsidR="00625630" w:rsidRPr="005B439A">
        <w:rPr>
          <w:rFonts w:ascii="Times New Roman" w:eastAsia="標楷體" w:hAnsi="Times New Roman" w:cs="Times New Roman"/>
        </w:rPr>
        <w:t>（</w:t>
      </w:r>
      <w:r w:rsidR="002D516D" w:rsidRPr="005B439A">
        <w:rPr>
          <w:rFonts w:ascii="Times New Roman" w:eastAsia="標楷體" w:hAnsi="Times New Roman" w:cs="Times New Roman"/>
        </w:rPr>
        <w:t>捐</w:t>
      </w:r>
      <w:r w:rsidR="00625630" w:rsidRPr="005B439A">
        <w:rPr>
          <w:rFonts w:ascii="Times New Roman" w:eastAsia="標楷體" w:hAnsi="Times New Roman" w:cs="Times New Roman"/>
        </w:rPr>
        <w:t>）</w:t>
      </w:r>
      <w:r w:rsidR="002D516D" w:rsidRPr="005B439A">
        <w:rPr>
          <w:rFonts w:ascii="Times New Roman" w:eastAsia="標楷體" w:hAnsi="Times New Roman" w:cs="Times New Roman"/>
        </w:rPr>
        <w:t>助、委託</w:t>
      </w:r>
      <w:r w:rsidR="00B72769" w:rsidRPr="005B439A">
        <w:rPr>
          <w:rFonts w:ascii="Times New Roman" w:eastAsia="標楷體" w:hAnsi="Times New Roman" w:cs="Times New Roman"/>
        </w:rPr>
        <w:t>計畫</w:t>
      </w:r>
      <w:r w:rsidR="002D516D" w:rsidRPr="005B439A">
        <w:rPr>
          <w:rFonts w:ascii="Times New Roman" w:eastAsia="標楷體" w:hAnsi="Times New Roman" w:cs="Times New Roman"/>
        </w:rPr>
        <w:t>，或其他相關獎補助計畫部分或全</w:t>
      </w:r>
      <w:r w:rsidR="002D516D" w:rsidRPr="00D0336E">
        <w:rPr>
          <w:rFonts w:ascii="Times New Roman" w:eastAsia="標楷體" w:hAnsi="Times New Roman" w:cs="Times New Roman"/>
        </w:rPr>
        <w:t>部補助費用。</w:t>
      </w:r>
    </w:p>
    <w:sectPr w:rsidR="00BB30BD" w:rsidRPr="00D033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41" w:rsidRDefault="00067441" w:rsidP="001A4A2F">
      <w:r>
        <w:separator/>
      </w:r>
    </w:p>
  </w:endnote>
  <w:endnote w:type="continuationSeparator" w:id="0">
    <w:p w:rsidR="00067441" w:rsidRDefault="00067441" w:rsidP="001A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814541"/>
      <w:docPartObj>
        <w:docPartGallery w:val="Page Numbers (Bottom of Page)"/>
        <w:docPartUnique/>
      </w:docPartObj>
    </w:sdtPr>
    <w:sdtEndPr/>
    <w:sdtContent>
      <w:p w:rsidR="00E60F27" w:rsidRDefault="00E60F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C81" w:rsidRPr="00554C81">
          <w:rPr>
            <w:noProof/>
            <w:lang w:val="zh-TW"/>
          </w:rPr>
          <w:t>1</w:t>
        </w:r>
        <w:r>
          <w:fldChar w:fldCharType="end"/>
        </w:r>
      </w:p>
    </w:sdtContent>
  </w:sdt>
  <w:p w:rsidR="00E60F27" w:rsidRDefault="00E60F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41" w:rsidRDefault="00067441" w:rsidP="001A4A2F">
      <w:r>
        <w:separator/>
      </w:r>
    </w:p>
  </w:footnote>
  <w:footnote w:type="continuationSeparator" w:id="0">
    <w:p w:rsidR="00067441" w:rsidRDefault="00067441" w:rsidP="001A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9503D"/>
    <w:multiLevelType w:val="hybridMultilevel"/>
    <w:tmpl w:val="9E581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8DC59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BB20507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B00E2"/>
    <w:multiLevelType w:val="hybridMultilevel"/>
    <w:tmpl w:val="3724C1F6"/>
    <w:lvl w:ilvl="0" w:tplc="C8B8BD14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65F68DB"/>
    <w:multiLevelType w:val="hybridMultilevel"/>
    <w:tmpl w:val="DA00C4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7D3F12"/>
    <w:multiLevelType w:val="hybridMultilevel"/>
    <w:tmpl w:val="1C7AF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03C0962">
      <w:start w:val="1"/>
      <w:numFmt w:val="taiwaneseCountingThousand"/>
      <w:lvlText w:val="（%2）"/>
      <w:lvlJc w:val="left"/>
      <w:pPr>
        <w:ind w:left="143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61268A"/>
    <w:multiLevelType w:val="hybridMultilevel"/>
    <w:tmpl w:val="4E660E5A"/>
    <w:lvl w:ilvl="0" w:tplc="C8B8BD14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3A852D9"/>
    <w:multiLevelType w:val="hybridMultilevel"/>
    <w:tmpl w:val="743A70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DB67A7A">
      <w:start w:val="1"/>
      <w:numFmt w:val="taiwaneseCountingThousand"/>
      <w:lvlText w:val="(%3)"/>
      <w:lvlJc w:val="left"/>
      <w:pPr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257D4A"/>
    <w:multiLevelType w:val="hybridMultilevel"/>
    <w:tmpl w:val="88301096"/>
    <w:lvl w:ilvl="0" w:tplc="84EAA66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C8B8BD1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2"/>
    <w:rsid w:val="00022ACF"/>
    <w:rsid w:val="000343F9"/>
    <w:rsid w:val="00034485"/>
    <w:rsid w:val="00067441"/>
    <w:rsid w:val="000A4438"/>
    <w:rsid w:val="000B646E"/>
    <w:rsid w:val="000C0A31"/>
    <w:rsid w:val="000C4D70"/>
    <w:rsid w:val="000E5829"/>
    <w:rsid w:val="00151DAB"/>
    <w:rsid w:val="00152B23"/>
    <w:rsid w:val="001576A5"/>
    <w:rsid w:val="00165A93"/>
    <w:rsid w:val="0017221D"/>
    <w:rsid w:val="001A4A2F"/>
    <w:rsid w:val="001C1EDD"/>
    <w:rsid w:val="001E689F"/>
    <w:rsid w:val="00203385"/>
    <w:rsid w:val="002034ED"/>
    <w:rsid w:val="0021000E"/>
    <w:rsid w:val="00210AA1"/>
    <w:rsid w:val="00251A60"/>
    <w:rsid w:val="0026219E"/>
    <w:rsid w:val="002A6BE0"/>
    <w:rsid w:val="002D4DE3"/>
    <w:rsid w:val="002D516D"/>
    <w:rsid w:val="002E2225"/>
    <w:rsid w:val="002E4B7D"/>
    <w:rsid w:val="00303DA9"/>
    <w:rsid w:val="0032593D"/>
    <w:rsid w:val="0038145C"/>
    <w:rsid w:val="003900CE"/>
    <w:rsid w:val="003B0D38"/>
    <w:rsid w:val="003D3629"/>
    <w:rsid w:val="003E22D3"/>
    <w:rsid w:val="004135DE"/>
    <w:rsid w:val="004420D8"/>
    <w:rsid w:val="00443C8E"/>
    <w:rsid w:val="00445AD3"/>
    <w:rsid w:val="00471BF4"/>
    <w:rsid w:val="004A66A0"/>
    <w:rsid w:val="004C2ACE"/>
    <w:rsid w:val="00511891"/>
    <w:rsid w:val="0051546B"/>
    <w:rsid w:val="005173A9"/>
    <w:rsid w:val="0053628F"/>
    <w:rsid w:val="00536B1E"/>
    <w:rsid w:val="00554C81"/>
    <w:rsid w:val="005564E3"/>
    <w:rsid w:val="00573089"/>
    <w:rsid w:val="005964A8"/>
    <w:rsid w:val="005B439A"/>
    <w:rsid w:val="00611210"/>
    <w:rsid w:val="00625630"/>
    <w:rsid w:val="006264A9"/>
    <w:rsid w:val="00663103"/>
    <w:rsid w:val="0067416A"/>
    <w:rsid w:val="0069090E"/>
    <w:rsid w:val="006A5E6C"/>
    <w:rsid w:val="006A71E0"/>
    <w:rsid w:val="006D7E26"/>
    <w:rsid w:val="006E53F1"/>
    <w:rsid w:val="007200B1"/>
    <w:rsid w:val="007B0109"/>
    <w:rsid w:val="007C1706"/>
    <w:rsid w:val="007C6813"/>
    <w:rsid w:val="007F7B49"/>
    <w:rsid w:val="0080283D"/>
    <w:rsid w:val="0083218E"/>
    <w:rsid w:val="008324CB"/>
    <w:rsid w:val="008437E3"/>
    <w:rsid w:val="00864924"/>
    <w:rsid w:val="008665BA"/>
    <w:rsid w:val="008B7734"/>
    <w:rsid w:val="008C67A1"/>
    <w:rsid w:val="008D4A50"/>
    <w:rsid w:val="008E64CC"/>
    <w:rsid w:val="008F6291"/>
    <w:rsid w:val="0090066A"/>
    <w:rsid w:val="0092023D"/>
    <w:rsid w:val="0095724F"/>
    <w:rsid w:val="0096254D"/>
    <w:rsid w:val="0098202D"/>
    <w:rsid w:val="00982571"/>
    <w:rsid w:val="009D1E13"/>
    <w:rsid w:val="009D4D81"/>
    <w:rsid w:val="00A22C15"/>
    <w:rsid w:val="00A372C6"/>
    <w:rsid w:val="00A96E38"/>
    <w:rsid w:val="00AC70E9"/>
    <w:rsid w:val="00AF53E6"/>
    <w:rsid w:val="00B53001"/>
    <w:rsid w:val="00B53B61"/>
    <w:rsid w:val="00B6609B"/>
    <w:rsid w:val="00B6787D"/>
    <w:rsid w:val="00B72769"/>
    <w:rsid w:val="00B8382F"/>
    <w:rsid w:val="00B87E36"/>
    <w:rsid w:val="00BB30BD"/>
    <w:rsid w:val="00BC0CD0"/>
    <w:rsid w:val="00BF7673"/>
    <w:rsid w:val="00C35103"/>
    <w:rsid w:val="00C44CC4"/>
    <w:rsid w:val="00C54864"/>
    <w:rsid w:val="00C66A6F"/>
    <w:rsid w:val="00C67D21"/>
    <w:rsid w:val="00C83E89"/>
    <w:rsid w:val="00CA2F2F"/>
    <w:rsid w:val="00CC0400"/>
    <w:rsid w:val="00CD2C14"/>
    <w:rsid w:val="00CF2F76"/>
    <w:rsid w:val="00D0336E"/>
    <w:rsid w:val="00D06FB8"/>
    <w:rsid w:val="00D14280"/>
    <w:rsid w:val="00D21E21"/>
    <w:rsid w:val="00D24797"/>
    <w:rsid w:val="00D51440"/>
    <w:rsid w:val="00D70FAA"/>
    <w:rsid w:val="00D74C43"/>
    <w:rsid w:val="00DC0B1C"/>
    <w:rsid w:val="00DC1D0F"/>
    <w:rsid w:val="00DC29B9"/>
    <w:rsid w:val="00DD2357"/>
    <w:rsid w:val="00E036A7"/>
    <w:rsid w:val="00E20174"/>
    <w:rsid w:val="00E24425"/>
    <w:rsid w:val="00E3426D"/>
    <w:rsid w:val="00E36213"/>
    <w:rsid w:val="00E60F27"/>
    <w:rsid w:val="00E727A8"/>
    <w:rsid w:val="00E94572"/>
    <w:rsid w:val="00EA5CE5"/>
    <w:rsid w:val="00EB3223"/>
    <w:rsid w:val="00EB5E34"/>
    <w:rsid w:val="00ED3C3B"/>
    <w:rsid w:val="00ED5118"/>
    <w:rsid w:val="00EE1A86"/>
    <w:rsid w:val="00EE7AC0"/>
    <w:rsid w:val="00EF23E7"/>
    <w:rsid w:val="00EF75F3"/>
    <w:rsid w:val="00F05346"/>
    <w:rsid w:val="00F26E40"/>
    <w:rsid w:val="00F80D34"/>
    <w:rsid w:val="00FA1064"/>
    <w:rsid w:val="00FB035A"/>
    <w:rsid w:val="00FB041D"/>
    <w:rsid w:val="00FC12DD"/>
    <w:rsid w:val="00FC16EF"/>
    <w:rsid w:val="00FC655D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F63F84-AE72-431D-A816-E6F8821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A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A2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A4A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4A2F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FA106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C1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E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basedOn w:val="a"/>
    <w:rsid w:val="00BB30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BB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8750B-299F-4724-9999-4CBCEF0A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>SYNNEX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科技發展組陳禹雋</dc:creator>
  <cp:lastModifiedBy>user</cp:lastModifiedBy>
  <cp:revision>2</cp:revision>
  <cp:lastPrinted>2018-05-16T08:58:00Z</cp:lastPrinted>
  <dcterms:created xsi:type="dcterms:W3CDTF">2018-07-05T03:01:00Z</dcterms:created>
  <dcterms:modified xsi:type="dcterms:W3CDTF">2018-07-05T03:01:00Z</dcterms:modified>
</cp:coreProperties>
</file>